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816"/>
        <w:gridCol w:w="7635"/>
        <w:gridCol w:w="1444"/>
      </w:tblGrid>
      <w:tr w:rsidR="00CA228F" w:rsidRPr="00CE0019" w14:paraId="472C1E69" w14:textId="77777777" w:rsidTr="004543C3">
        <w:trPr>
          <w:cantSplit/>
          <w:tblHeader/>
        </w:trPr>
        <w:tc>
          <w:tcPr>
            <w:tcW w:w="816" w:type="dxa"/>
            <w:vAlign w:val="bottom"/>
          </w:tcPr>
          <w:p w14:paraId="687C0637" w14:textId="340B87D9" w:rsidR="00CA228F" w:rsidRPr="00CE0019" w:rsidRDefault="00CA228F" w:rsidP="00B3317A">
            <w:pPr>
              <w:pStyle w:val="ListParagraph"/>
              <w:numPr>
                <w:ilvl w:val="0"/>
                <w:numId w:val="1"/>
              </w:numPr>
              <w:ind w:left="30"/>
              <w:contextualSpacing w:val="0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E0019">
              <w:rPr>
                <w:rFonts w:ascii="Garamond" w:hAnsi="Garamond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7635" w:type="dxa"/>
            <w:vAlign w:val="bottom"/>
          </w:tcPr>
          <w:p w14:paraId="79074D02" w14:textId="22AC9AAE" w:rsidR="00CA228F" w:rsidRPr="00CE0019" w:rsidRDefault="00CA228F" w:rsidP="00CE0019">
            <w:pPr>
              <w:pStyle w:val="ListParagraph"/>
              <w:numPr>
                <w:ilvl w:val="0"/>
                <w:numId w:val="1"/>
              </w:numPr>
              <w:ind w:left="30"/>
              <w:contextualSpacing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E0019">
              <w:rPr>
                <w:rFonts w:ascii="Garamond" w:hAnsi="Garamond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444" w:type="dxa"/>
            <w:vAlign w:val="bottom"/>
          </w:tcPr>
          <w:p w14:paraId="28224E8C" w14:textId="69FEA5AE" w:rsidR="001A375E" w:rsidRPr="001A375E" w:rsidRDefault="00CA228F" w:rsidP="001A375E">
            <w:pPr>
              <w:pStyle w:val="ListParagraph"/>
              <w:numPr>
                <w:ilvl w:val="0"/>
                <w:numId w:val="1"/>
              </w:numPr>
              <w:ind w:left="30"/>
              <w:contextualSpacing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E0019">
              <w:rPr>
                <w:rFonts w:ascii="Garamond" w:hAnsi="Garamond"/>
                <w:b/>
                <w:bCs/>
                <w:sz w:val="24"/>
                <w:szCs w:val="24"/>
              </w:rPr>
              <w:t>Completion</w:t>
            </w:r>
          </w:p>
        </w:tc>
      </w:tr>
      <w:tr w:rsidR="00CA228F" w:rsidRPr="00CA228F" w14:paraId="22494F39" w14:textId="2F43B214" w:rsidTr="004543C3">
        <w:tc>
          <w:tcPr>
            <w:tcW w:w="816" w:type="dxa"/>
          </w:tcPr>
          <w:p w14:paraId="2D09D5DC" w14:textId="561D1A61" w:rsidR="00CA228F" w:rsidRPr="00CA228F" w:rsidRDefault="00CA228F" w:rsidP="00062945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7635" w:type="dxa"/>
          </w:tcPr>
          <w:p w14:paraId="2CFA883D" w14:textId="3408F6DC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CA228F">
              <w:rPr>
                <w:rFonts w:ascii="Garamond" w:hAnsi="Garamond"/>
                <w:sz w:val="24"/>
                <w:szCs w:val="24"/>
              </w:rPr>
              <w:t xml:space="preserve">PCA notifies all personnel with P-Card responsibilities that P-Card statements are available, that </w:t>
            </w:r>
            <w:r w:rsidR="001A375E">
              <w:rPr>
                <w:rFonts w:ascii="Garamond" w:hAnsi="Garamond"/>
                <w:sz w:val="24"/>
                <w:szCs w:val="24"/>
              </w:rPr>
              <w:t>the month-end close process has started and provide</w:t>
            </w:r>
            <w:r w:rsidR="00AE49CE">
              <w:rPr>
                <w:rFonts w:ascii="Garamond" w:hAnsi="Garamond"/>
                <w:sz w:val="24"/>
                <w:szCs w:val="24"/>
              </w:rPr>
              <w:t>s</w:t>
            </w:r>
            <w:r w:rsidR="001A375E">
              <w:rPr>
                <w:rFonts w:ascii="Garamond" w:hAnsi="Garamond"/>
                <w:sz w:val="24"/>
                <w:szCs w:val="24"/>
              </w:rPr>
              <w:t xml:space="preserve"> a copy of this process with all due dates</w:t>
            </w:r>
            <w:r w:rsidRPr="00CA228F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14:paraId="53137850" w14:textId="77777777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228F" w:rsidRPr="00CA228F" w14:paraId="1633CA05" w14:textId="77777777" w:rsidTr="004543C3">
        <w:tc>
          <w:tcPr>
            <w:tcW w:w="816" w:type="dxa"/>
          </w:tcPr>
          <w:p w14:paraId="251F6BE2" w14:textId="02E88A0A" w:rsidR="00CA228F" w:rsidRPr="00CE0019" w:rsidRDefault="00CE0019" w:rsidP="00CE0019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28-30</w:t>
            </w:r>
          </w:p>
        </w:tc>
        <w:tc>
          <w:tcPr>
            <w:tcW w:w="7635" w:type="dxa"/>
          </w:tcPr>
          <w:p w14:paraId="417A72AD" w14:textId="51DE5F88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Cardholders reconcile statements to documentation</w:t>
            </w:r>
            <w:r w:rsidR="00CE0019">
              <w:rPr>
                <w:rFonts w:ascii="Garamond" w:hAnsi="Garamond"/>
                <w:sz w:val="24"/>
                <w:szCs w:val="24"/>
              </w:rPr>
              <w:t xml:space="preserve">, indicating on the documents the transaction number to which </w:t>
            </w:r>
            <w:r w:rsidR="004543C3">
              <w:rPr>
                <w:rFonts w:ascii="Garamond" w:hAnsi="Garamond"/>
                <w:sz w:val="24"/>
                <w:szCs w:val="24"/>
              </w:rPr>
              <w:t>each document</w:t>
            </w:r>
            <w:r w:rsidR="00CE0019">
              <w:rPr>
                <w:rFonts w:ascii="Garamond" w:hAnsi="Garamond"/>
                <w:sz w:val="24"/>
                <w:szCs w:val="24"/>
              </w:rPr>
              <w:t xml:space="preserve"> belong</w:t>
            </w:r>
            <w:r w:rsidR="004543C3">
              <w:rPr>
                <w:rFonts w:ascii="Garamond" w:hAnsi="Garamond"/>
                <w:sz w:val="24"/>
                <w:szCs w:val="24"/>
              </w:rPr>
              <w:t>s</w:t>
            </w:r>
            <w:r w:rsidR="00CE0019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14:paraId="118E2BD2" w14:textId="77777777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E0019" w:rsidRPr="00CA228F" w14:paraId="7155C133" w14:textId="77777777" w:rsidTr="004543C3">
        <w:tc>
          <w:tcPr>
            <w:tcW w:w="816" w:type="dxa"/>
          </w:tcPr>
          <w:p w14:paraId="39335410" w14:textId="4A150F04" w:rsidR="00CE0019" w:rsidRPr="00CE0019" w:rsidRDefault="00CE0019" w:rsidP="00CE0019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7635" w:type="dxa"/>
          </w:tcPr>
          <w:p w14:paraId="012CCE99" w14:textId="2D938BF0" w:rsidR="00CE0019" w:rsidRPr="00CA228F" w:rsidRDefault="00CE0019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Cardholders make list of any transactions requiring follow-up </w:t>
            </w:r>
            <w:r w:rsidR="00AE49CE">
              <w:rPr>
                <w:rFonts w:ascii="Garamond" w:hAnsi="Garamond"/>
                <w:sz w:val="24"/>
                <w:szCs w:val="24"/>
              </w:rPr>
              <w:t xml:space="preserve">with bank </w:t>
            </w:r>
            <w:r>
              <w:rPr>
                <w:rFonts w:ascii="Garamond" w:hAnsi="Garamond"/>
                <w:sz w:val="24"/>
                <w:szCs w:val="24"/>
              </w:rPr>
              <w:t>by Liaison.</w:t>
            </w:r>
          </w:p>
        </w:tc>
        <w:tc>
          <w:tcPr>
            <w:tcW w:w="1444" w:type="dxa"/>
          </w:tcPr>
          <w:p w14:paraId="2EFE6AD9" w14:textId="77777777" w:rsidR="00CE0019" w:rsidRPr="00CA228F" w:rsidRDefault="00CE0019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228F" w:rsidRPr="00CA228F" w14:paraId="1825E41D" w14:textId="2CFB871B" w:rsidTr="004543C3">
        <w:tc>
          <w:tcPr>
            <w:tcW w:w="816" w:type="dxa"/>
          </w:tcPr>
          <w:p w14:paraId="4F4A517B" w14:textId="1449BD9A" w:rsidR="00CA228F" w:rsidRPr="00CE0019" w:rsidRDefault="00CE0019" w:rsidP="00CE0019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1-2</w:t>
            </w:r>
          </w:p>
        </w:tc>
        <w:tc>
          <w:tcPr>
            <w:tcW w:w="7635" w:type="dxa"/>
          </w:tcPr>
          <w:p w14:paraId="717106FC" w14:textId="3A34E68F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CA228F">
              <w:rPr>
                <w:rFonts w:ascii="Garamond" w:hAnsi="Garamond"/>
                <w:sz w:val="24"/>
                <w:szCs w:val="24"/>
              </w:rPr>
              <w:t xml:space="preserve">Supervisor/Approvers are required to verify that cardholders have signed the statement, </w:t>
            </w:r>
            <w:proofErr w:type="gramStart"/>
            <w:r w:rsidRPr="00CA228F">
              <w:rPr>
                <w:rFonts w:ascii="Garamond" w:hAnsi="Garamond"/>
                <w:sz w:val="24"/>
                <w:szCs w:val="24"/>
              </w:rPr>
              <w:t>that</w:t>
            </w:r>
            <w:proofErr w:type="gramEnd"/>
            <w:r w:rsidRPr="00CA228F">
              <w:rPr>
                <w:rFonts w:ascii="Garamond" w:hAnsi="Garamond"/>
                <w:sz w:val="24"/>
                <w:szCs w:val="24"/>
              </w:rPr>
              <w:t xml:space="preserve"> required documentation is present, and that all transactions are legitimate business expenses.  They then sign and date the statement and forward to the appropriate Liaison</w:t>
            </w:r>
            <w:r w:rsidR="00AE49CE" w:rsidRPr="00CA228F">
              <w:rPr>
                <w:rFonts w:ascii="Garamond" w:hAnsi="Garamond"/>
                <w:sz w:val="24"/>
                <w:szCs w:val="24"/>
              </w:rPr>
              <w:t xml:space="preserve">.  </w:t>
            </w:r>
          </w:p>
        </w:tc>
        <w:tc>
          <w:tcPr>
            <w:tcW w:w="1444" w:type="dxa"/>
          </w:tcPr>
          <w:p w14:paraId="487ADBD1" w14:textId="77777777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43C3" w:rsidRPr="00CA228F" w14:paraId="3BD409CC" w14:textId="77777777" w:rsidTr="00F80012">
        <w:tc>
          <w:tcPr>
            <w:tcW w:w="816" w:type="dxa"/>
          </w:tcPr>
          <w:p w14:paraId="7FBE1F06" w14:textId="77777777" w:rsidR="004543C3" w:rsidRPr="00CE0019" w:rsidRDefault="004543C3" w:rsidP="00F80012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1-3</w:t>
            </w:r>
          </w:p>
        </w:tc>
        <w:tc>
          <w:tcPr>
            <w:tcW w:w="7635" w:type="dxa"/>
          </w:tcPr>
          <w:p w14:paraId="3BB929E8" w14:textId="7A25294E" w:rsidR="004543C3" w:rsidRPr="00CA228F" w:rsidRDefault="004543C3" w:rsidP="00F80012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CA228F">
              <w:rPr>
                <w:rFonts w:ascii="Garamond" w:hAnsi="Garamond"/>
                <w:sz w:val="24"/>
                <w:szCs w:val="24"/>
              </w:rPr>
              <w:t xml:space="preserve">PCA downloads digital copy of </w:t>
            </w:r>
            <w:r w:rsidR="00AE49CE">
              <w:rPr>
                <w:rFonts w:ascii="Garamond" w:hAnsi="Garamond"/>
                <w:sz w:val="24"/>
                <w:szCs w:val="24"/>
              </w:rPr>
              <w:t xml:space="preserve">agency </w:t>
            </w:r>
            <w:r w:rsidRPr="00CA228F">
              <w:rPr>
                <w:rFonts w:ascii="Garamond" w:hAnsi="Garamond"/>
                <w:sz w:val="24"/>
                <w:szCs w:val="24"/>
              </w:rPr>
              <w:t>statement transactions, and sorts to identify split transactions, and transactions exceeding STLs and credit limits.</w:t>
            </w:r>
          </w:p>
        </w:tc>
        <w:tc>
          <w:tcPr>
            <w:tcW w:w="1444" w:type="dxa"/>
          </w:tcPr>
          <w:p w14:paraId="49898585" w14:textId="77777777" w:rsidR="004543C3" w:rsidRPr="00CA228F" w:rsidRDefault="004543C3" w:rsidP="00F80012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E49CE" w:rsidRPr="00CA228F" w14:paraId="5226D94A" w14:textId="77777777" w:rsidTr="004543C3">
        <w:tc>
          <w:tcPr>
            <w:tcW w:w="816" w:type="dxa"/>
          </w:tcPr>
          <w:p w14:paraId="0C49BC32" w14:textId="7FFD5091" w:rsidR="00AE49CE" w:rsidRPr="00CE0019" w:rsidRDefault="00AE49CE" w:rsidP="00CE0019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AE49CE">
              <w:rPr>
                <w:rFonts w:ascii="Garamond" w:hAnsi="Garamond"/>
                <w:sz w:val="24"/>
                <w:szCs w:val="24"/>
              </w:rPr>
              <w:t>1-3</w:t>
            </w:r>
          </w:p>
        </w:tc>
        <w:tc>
          <w:tcPr>
            <w:tcW w:w="7635" w:type="dxa"/>
          </w:tcPr>
          <w:p w14:paraId="03C5739A" w14:textId="6C87310E" w:rsidR="00AE49CE" w:rsidRPr="00AE49CE" w:rsidRDefault="00AE49CE" w:rsidP="00AE49CE">
            <w:pPr>
              <w:spacing w:after="165"/>
              <w:rPr>
                <w:rFonts w:ascii="Garamond" w:hAnsi="Garamond"/>
                <w:sz w:val="24"/>
                <w:szCs w:val="24"/>
              </w:rPr>
            </w:pPr>
            <w:r w:rsidRPr="00AE49CE">
              <w:rPr>
                <w:rFonts w:ascii="Garamond" w:hAnsi="Garamond"/>
                <w:sz w:val="24"/>
                <w:szCs w:val="24"/>
              </w:rPr>
              <w:t xml:space="preserve">PCA downloads </w:t>
            </w:r>
            <w:r>
              <w:rPr>
                <w:rFonts w:ascii="Garamond" w:hAnsi="Garamond"/>
                <w:sz w:val="24"/>
                <w:szCs w:val="24"/>
              </w:rPr>
              <w:t>listing of transactions using blocked MCCs and investigates</w:t>
            </w:r>
            <w:r w:rsidRPr="00AE49C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14:paraId="48F09F94" w14:textId="77777777" w:rsidR="00AE49CE" w:rsidRPr="00CA228F" w:rsidRDefault="00AE49CE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228F" w:rsidRPr="00CA228F" w14:paraId="074DB466" w14:textId="2C4FC5EE" w:rsidTr="004543C3">
        <w:tc>
          <w:tcPr>
            <w:tcW w:w="816" w:type="dxa"/>
          </w:tcPr>
          <w:p w14:paraId="28A523BB" w14:textId="6BFB8267" w:rsidR="00CA228F" w:rsidRPr="00CE0019" w:rsidRDefault="00CE0019" w:rsidP="00CE0019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7635" w:type="dxa"/>
          </w:tcPr>
          <w:p w14:paraId="00ACFC0A" w14:textId="24EDD882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CA228F">
              <w:rPr>
                <w:rFonts w:ascii="Garamond" w:hAnsi="Garamond"/>
                <w:sz w:val="24"/>
                <w:szCs w:val="24"/>
              </w:rPr>
              <w:t xml:space="preserve">Liaisons review the statements using Liaison checklist to verify that no unauthorized or prohibited transactions </w:t>
            </w:r>
            <w:proofErr w:type="gramStart"/>
            <w:r w:rsidRPr="00CA228F">
              <w:rPr>
                <w:rFonts w:ascii="Garamond" w:hAnsi="Garamond"/>
                <w:sz w:val="24"/>
                <w:szCs w:val="24"/>
              </w:rPr>
              <w:t>were made</w:t>
            </w:r>
            <w:proofErr w:type="gramEnd"/>
            <w:r w:rsidRPr="00CA228F">
              <w:rPr>
                <w:rFonts w:ascii="Garamond" w:hAnsi="Garamond"/>
                <w:sz w:val="24"/>
                <w:szCs w:val="24"/>
              </w:rPr>
              <w:t>, and sign and date the checklist.</w:t>
            </w:r>
          </w:p>
        </w:tc>
        <w:tc>
          <w:tcPr>
            <w:tcW w:w="1444" w:type="dxa"/>
          </w:tcPr>
          <w:p w14:paraId="0B690F9C" w14:textId="77777777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228F" w:rsidRPr="00CA228F" w14:paraId="00862B00" w14:textId="58888679" w:rsidTr="004543C3">
        <w:tc>
          <w:tcPr>
            <w:tcW w:w="816" w:type="dxa"/>
          </w:tcPr>
          <w:p w14:paraId="7B85FCA2" w14:textId="327FBE1E" w:rsidR="00CA228F" w:rsidRPr="00CE0019" w:rsidRDefault="00CE0019" w:rsidP="00CE0019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7635" w:type="dxa"/>
          </w:tcPr>
          <w:p w14:paraId="4B0E5957" w14:textId="6258962C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CA228F">
              <w:rPr>
                <w:rFonts w:ascii="Garamond" w:hAnsi="Garamond"/>
                <w:sz w:val="24"/>
                <w:szCs w:val="24"/>
              </w:rPr>
              <w:t xml:space="preserve">Any identified unauthorized or prohibited transactions </w:t>
            </w:r>
            <w:proofErr w:type="gramStart"/>
            <w:r w:rsidRPr="00CA228F">
              <w:rPr>
                <w:rFonts w:ascii="Garamond" w:hAnsi="Garamond"/>
                <w:sz w:val="24"/>
                <w:szCs w:val="24"/>
              </w:rPr>
              <w:t>are reported</w:t>
            </w:r>
            <w:proofErr w:type="gramEnd"/>
            <w:r w:rsidRPr="00CA228F">
              <w:rPr>
                <w:rFonts w:ascii="Garamond" w:hAnsi="Garamond"/>
                <w:sz w:val="24"/>
                <w:szCs w:val="24"/>
              </w:rPr>
              <w:t xml:space="preserve"> to the Cardholder Supervisor/Approver and PCA.</w:t>
            </w:r>
          </w:p>
        </w:tc>
        <w:tc>
          <w:tcPr>
            <w:tcW w:w="1444" w:type="dxa"/>
          </w:tcPr>
          <w:p w14:paraId="089BAFA5" w14:textId="77777777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228F" w:rsidRPr="00CA228F" w14:paraId="5B905912" w14:textId="57ADFEB1" w:rsidTr="004543C3">
        <w:tc>
          <w:tcPr>
            <w:tcW w:w="816" w:type="dxa"/>
          </w:tcPr>
          <w:p w14:paraId="6A825BEB" w14:textId="69AD4735" w:rsidR="00CA228F" w:rsidRPr="00CE0019" w:rsidRDefault="00CE0019" w:rsidP="00CE0019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7635" w:type="dxa"/>
          </w:tcPr>
          <w:p w14:paraId="362C4643" w14:textId="5E39CD35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CA228F">
              <w:rPr>
                <w:rFonts w:ascii="Garamond" w:hAnsi="Garamond"/>
                <w:sz w:val="24"/>
                <w:szCs w:val="24"/>
              </w:rPr>
              <w:t>Liaisons file documentation, including signed Liaison checklist, with each statement according to agency procedures.</w:t>
            </w:r>
          </w:p>
        </w:tc>
        <w:tc>
          <w:tcPr>
            <w:tcW w:w="1444" w:type="dxa"/>
          </w:tcPr>
          <w:p w14:paraId="4910BD84" w14:textId="77777777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228F" w:rsidRPr="00CA228F" w14:paraId="2028E326" w14:textId="22435C67" w:rsidTr="004543C3">
        <w:tc>
          <w:tcPr>
            <w:tcW w:w="816" w:type="dxa"/>
          </w:tcPr>
          <w:p w14:paraId="63C144F2" w14:textId="3791B2F1" w:rsidR="00CA228F" w:rsidRPr="00CE0019" w:rsidRDefault="00CE0019" w:rsidP="00CE0019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7635" w:type="dxa"/>
          </w:tcPr>
          <w:p w14:paraId="4BB5FFF3" w14:textId="260D3544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CA228F">
              <w:rPr>
                <w:rFonts w:ascii="Garamond" w:hAnsi="Garamond"/>
                <w:sz w:val="24"/>
                <w:szCs w:val="24"/>
              </w:rPr>
              <w:t xml:space="preserve">Liaisons report to PCA a list of all statements that have </w:t>
            </w:r>
            <w:proofErr w:type="gramStart"/>
            <w:r w:rsidRPr="00CA228F">
              <w:rPr>
                <w:rFonts w:ascii="Garamond" w:hAnsi="Garamond"/>
                <w:sz w:val="24"/>
                <w:szCs w:val="24"/>
              </w:rPr>
              <w:t>been reviewed</w:t>
            </w:r>
            <w:proofErr w:type="gramEnd"/>
            <w:r w:rsidRPr="00CA228F">
              <w:rPr>
                <w:rFonts w:ascii="Garamond" w:hAnsi="Garamond"/>
                <w:sz w:val="24"/>
                <w:szCs w:val="24"/>
              </w:rPr>
              <w:t xml:space="preserve"> and approved by Cardholder, Supervisor, and Liaison so the PCA can ensure that all statements can be certified for payment.</w:t>
            </w:r>
          </w:p>
        </w:tc>
        <w:tc>
          <w:tcPr>
            <w:tcW w:w="1444" w:type="dxa"/>
          </w:tcPr>
          <w:p w14:paraId="0D3CA108" w14:textId="77777777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43C3" w:rsidRPr="00CA228F" w14:paraId="4086EEE7" w14:textId="77777777" w:rsidTr="004543C3">
        <w:tc>
          <w:tcPr>
            <w:tcW w:w="816" w:type="dxa"/>
          </w:tcPr>
          <w:p w14:paraId="798D2109" w14:textId="3589EA48" w:rsidR="004543C3" w:rsidRPr="00CE0019" w:rsidRDefault="004543C3" w:rsidP="00062945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7635" w:type="dxa"/>
          </w:tcPr>
          <w:p w14:paraId="363953A0" w14:textId="1B7E1C20" w:rsidR="004543C3" w:rsidRPr="00CA228F" w:rsidRDefault="004543C3" w:rsidP="00A31D45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CA228F">
              <w:rPr>
                <w:rFonts w:ascii="Garamond" w:hAnsi="Garamond"/>
                <w:sz w:val="24"/>
                <w:szCs w:val="24"/>
              </w:rPr>
              <w:t xml:space="preserve">PCA </w:t>
            </w:r>
            <w:r w:rsidR="0054471F">
              <w:rPr>
                <w:rFonts w:ascii="Garamond" w:hAnsi="Garamond"/>
                <w:sz w:val="24"/>
                <w:szCs w:val="24"/>
              </w:rPr>
              <w:t>receives</w:t>
            </w:r>
            <w:r w:rsidRPr="00CA228F">
              <w:rPr>
                <w:rFonts w:ascii="Garamond" w:hAnsi="Garamond"/>
                <w:sz w:val="24"/>
                <w:szCs w:val="24"/>
              </w:rPr>
              <w:t xml:space="preserve"> verifications that all Cardholder statements have </w:t>
            </w:r>
            <w:proofErr w:type="gramStart"/>
            <w:r w:rsidRPr="00CA228F">
              <w:rPr>
                <w:rFonts w:ascii="Garamond" w:hAnsi="Garamond"/>
                <w:sz w:val="24"/>
                <w:szCs w:val="24"/>
              </w:rPr>
              <w:t>been reconciled</w:t>
            </w:r>
            <w:proofErr w:type="gramEnd"/>
            <w:r w:rsidRPr="00CA228F">
              <w:rPr>
                <w:rFonts w:ascii="Garamond" w:hAnsi="Garamond"/>
                <w:sz w:val="24"/>
                <w:szCs w:val="24"/>
              </w:rPr>
              <w:t>, reviewed by Supervisors and Liaisons, and indicates on list of cardholders to ensure that all statements were reviewed according to procedure.</w:t>
            </w:r>
          </w:p>
        </w:tc>
        <w:tc>
          <w:tcPr>
            <w:tcW w:w="1444" w:type="dxa"/>
          </w:tcPr>
          <w:p w14:paraId="5049F69E" w14:textId="77777777" w:rsidR="004543C3" w:rsidRPr="00CA228F" w:rsidRDefault="004543C3" w:rsidP="00A31D45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228F" w:rsidRPr="00CA228F" w14:paraId="792A9BE0" w14:textId="4CADAA5E" w:rsidTr="004543C3">
        <w:tc>
          <w:tcPr>
            <w:tcW w:w="816" w:type="dxa"/>
          </w:tcPr>
          <w:p w14:paraId="2B2C2B1A" w14:textId="3E11B69C" w:rsidR="00CE0019" w:rsidRPr="00CE0019" w:rsidRDefault="00CE0019" w:rsidP="00CE0019">
            <w:pPr>
              <w:spacing w:after="165"/>
              <w:ind w:left="-345"/>
              <w:jc w:val="right"/>
              <w:rPr>
                <w:rFonts w:ascii="Garamond" w:hAnsi="Garamond"/>
                <w:sz w:val="24"/>
                <w:szCs w:val="24"/>
              </w:rPr>
            </w:pPr>
            <w:r w:rsidRPr="00CE0019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7635" w:type="dxa"/>
          </w:tcPr>
          <w:p w14:paraId="642EF99B" w14:textId="6B1BF8FE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CA228F">
              <w:rPr>
                <w:rFonts w:ascii="Garamond" w:hAnsi="Garamond"/>
                <w:sz w:val="24"/>
                <w:szCs w:val="24"/>
              </w:rPr>
              <w:t>PCA signs OCG P-Card Statement Certification, saves a copy for the file and forwards to OCG.</w:t>
            </w:r>
          </w:p>
        </w:tc>
        <w:tc>
          <w:tcPr>
            <w:tcW w:w="1444" w:type="dxa"/>
          </w:tcPr>
          <w:p w14:paraId="3D6DB1FD" w14:textId="77777777" w:rsidR="00CA228F" w:rsidRPr="00CA228F" w:rsidRDefault="00CA228F" w:rsidP="0019552D">
            <w:pPr>
              <w:pStyle w:val="ListParagraph"/>
              <w:numPr>
                <w:ilvl w:val="0"/>
                <w:numId w:val="1"/>
              </w:numPr>
              <w:spacing w:after="165"/>
              <w:ind w:left="15"/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2EC3B40" w14:textId="68B96F95" w:rsidR="002C0384" w:rsidRPr="00CA228F" w:rsidRDefault="002C0384" w:rsidP="00CA228F">
      <w:pPr>
        <w:spacing w:after="165"/>
        <w:rPr>
          <w:rFonts w:ascii="Garamond" w:hAnsi="Garamond"/>
          <w:sz w:val="24"/>
          <w:szCs w:val="24"/>
        </w:rPr>
      </w:pPr>
    </w:p>
    <w:sectPr w:rsidR="002C0384" w:rsidRPr="00CA228F" w:rsidSect="004C738A">
      <w:headerReference w:type="default" r:id="rId7"/>
      <w:footerReference w:type="default" r:id="rId8"/>
      <w:pgSz w:w="12240" w:h="15840"/>
      <w:pgMar w:top="1710" w:right="108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4E9F" w14:textId="77777777" w:rsidR="00525428" w:rsidRDefault="00525428" w:rsidP="005D2527">
      <w:pPr>
        <w:spacing w:after="0" w:line="240" w:lineRule="auto"/>
      </w:pPr>
      <w:r>
        <w:separator/>
      </w:r>
    </w:p>
  </w:endnote>
  <w:endnote w:type="continuationSeparator" w:id="0">
    <w:p w14:paraId="4E0D93F4" w14:textId="77777777" w:rsidR="00525428" w:rsidRDefault="00525428" w:rsidP="005D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B45F" w14:textId="034D6AD3" w:rsidR="00CE0019" w:rsidRPr="00CE0019" w:rsidRDefault="00CE0019">
    <w:pPr>
      <w:pStyle w:val="Footer"/>
      <w:rPr>
        <w:rFonts w:ascii="Garamond" w:hAnsi="Garamond"/>
      </w:rPr>
    </w:pPr>
    <w:r w:rsidRPr="00CE0019">
      <w:rPr>
        <w:rFonts w:ascii="Garamond" w:hAnsi="Garamond"/>
      </w:rPr>
      <w:t>Division of Procurement Services</w:t>
    </w:r>
    <w:r w:rsidRPr="00CE0019">
      <w:rPr>
        <w:rFonts w:ascii="Garamond" w:hAnsi="Garamond"/>
      </w:rPr>
      <w:tab/>
    </w:r>
    <w:r w:rsidRPr="00CE0019">
      <w:rPr>
        <w:rFonts w:ascii="Garamond" w:hAnsi="Garamond"/>
      </w:rPr>
      <w:tab/>
      <w:t>2/10/25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4A22" w14:textId="77777777" w:rsidR="00525428" w:rsidRDefault="00525428" w:rsidP="005D2527">
      <w:pPr>
        <w:spacing w:after="0" w:line="240" w:lineRule="auto"/>
      </w:pPr>
      <w:r>
        <w:separator/>
      </w:r>
    </w:p>
  </w:footnote>
  <w:footnote w:type="continuationSeparator" w:id="0">
    <w:p w14:paraId="7F4A53CE" w14:textId="77777777" w:rsidR="00525428" w:rsidRDefault="00525428" w:rsidP="005D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24A3" w14:textId="7D654757" w:rsidR="005D2527" w:rsidRPr="005D2527" w:rsidRDefault="005D2527">
    <w:pPr>
      <w:pStyle w:val="Header"/>
      <w:rPr>
        <w:rFonts w:ascii="Garamond" w:hAnsi="Garamond"/>
        <w:sz w:val="24"/>
        <w:szCs w:val="24"/>
      </w:rPr>
    </w:pPr>
    <w:r w:rsidRPr="005D2527">
      <w:rPr>
        <w:rFonts w:ascii="Garamond" w:hAnsi="Garamond"/>
        <w:sz w:val="24"/>
        <w:szCs w:val="24"/>
      </w:rPr>
      <w:tab/>
      <w:t>Purchasing Card</w:t>
    </w:r>
  </w:p>
  <w:p w14:paraId="36D645D1" w14:textId="77777777" w:rsidR="0054471F" w:rsidRDefault="005D2527">
    <w:pPr>
      <w:pStyle w:val="Header"/>
      <w:rPr>
        <w:rFonts w:ascii="Garamond" w:hAnsi="Garamond"/>
        <w:sz w:val="24"/>
        <w:szCs w:val="24"/>
      </w:rPr>
    </w:pPr>
    <w:r w:rsidRPr="005D2527">
      <w:rPr>
        <w:rFonts w:ascii="Garamond" w:hAnsi="Garamond"/>
        <w:sz w:val="24"/>
        <w:szCs w:val="24"/>
      </w:rPr>
      <w:tab/>
      <w:t>Month-end Close Process</w:t>
    </w:r>
  </w:p>
  <w:p w14:paraId="04513617" w14:textId="0408452A" w:rsidR="005D2527" w:rsidRPr="005D2527" w:rsidRDefault="0054471F">
    <w:pPr>
      <w:pStyle w:val="Head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Agency Name:</w:t>
    </w:r>
    <w:r w:rsidR="004C738A">
      <w:rPr>
        <w:rFonts w:ascii="Garamond" w:hAnsi="Garamond"/>
        <w:sz w:val="24"/>
        <w:szCs w:val="24"/>
      </w:rPr>
      <w:t xml:space="preserve"> </w:t>
    </w:r>
    <w:r>
      <w:rPr>
        <w:rFonts w:ascii="Garamond" w:hAnsi="Garamond"/>
        <w:sz w:val="24"/>
        <w:szCs w:val="24"/>
      </w:rPr>
      <w:t>_______________________</w:t>
    </w:r>
    <w:r>
      <w:rPr>
        <w:rFonts w:ascii="Garamond" w:hAnsi="Garamond"/>
        <w:sz w:val="24"/>
        <w:szCs w:val="24"/>
      </w:rPr>
      <w:tab/>
    </w:r>
    <w:r w:rsidR="005D2527" w:rsidRPr="005D2527"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>Month/Year: ______/_______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0090"/>
    <w:multiLevelType w:val="hybridMultilevel"/>
    <w:tmpl w:val="4AFAE016"/>
    <w:lvl w:ilvl="0" w:tplc="F93AE0DE">
      <w:numFmt w:val="bullet"/>
      <w:lvlText w:val="-"/>
      <w:lvlJc w:val="left"/>
      <w:pPr>
        <w:ind w:left="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11833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27"/>
    <w:rsid w:val="00062945"/>
    <w:rsid w:val="001A375E"/>
    <w:rsid w:val="001E195E"/>
    <w:rsid w:val="002C0384"/>
    <w:rsid w:val="003A3E63"/>
    <w:rsid w:val="004543C3"/>
    <w:rsid w:val="004C738A"/>
    <w:rsid w:val="00525428"/>
    <w:rsid w:val="0054471F"/>
    <w:rsid w:val="005D2527"/>
    <w:rsid w:val="006B7440"/>
    <w:rsid w:val="00752F7F"/>
    <w:rsid w:val="00762D59"/>
    <w:rsid w:val="009C3B76"/>
    <w:rsid w:val="00AE49CE"/>
    <w:rsid w:val="00B3317A"/>
    <w:rsid w:val="00BE3719"/>
    <w:rsid w:val="00CA228F"/>
    <w:rsid w:val="00CD477D"/>
    <w:rsid w:val="00CE0019"/>
    <w:rsid w:val="00C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6C497"/>
  <w15:chartTrackingRefBased/>
  <w15:docId w15:val="{9F95D46F-F2C8-475F-94F7-7CAE480A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527"/>
  </w:style>
  <w:style w:type="paragraph" w:styleId="Footer">
    <w:name w:val="footer"/>
    <w:basedOn w:val="Normal"/>
    <w:link w:val="FooterChar"/>
    <w:uiPriority w:val="99"/>
    <w:unhideWhenUsed/>
    <w:rsid w:val="005D2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527"/>
  </w:style>
  <w:style w:type="paragraph" w:styleId="ListParagraph">
    <w:name w:val="List Paragraph"/>
    <w:basedOn w:val="Normal"/>
    <w:uiPriority w:val="34"/>
    <w:qFormat/>
    <w:rsid w:val="006B7440"/>
    <w:pPr>
      <w:ind w:left="720"/>
      <w:contextualSpacing/>
    </w:pPr>
  </w:style>
  <w:style w:type="table" w:styleId="TableGrid">
    <w:name w:val="Table Grid"/>
    <w:basedOn w:val="TableNormal"/>
    <w:uiPriority w:val="39"/>
    <w:rsid w:val="00CA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Month-end Close</vt:lpstr>
    </vt:vector>
  </TitlesOfParts>
  <Company>Audit &amp; Certification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Month-end Close</dc:title>
  <dc:subject>Purchasing Card</dc:subject>
  <dc:creator>CMilling</dc:creator>
  <cp:keywords>P-Card; A&amp;C</cp:keywords>
  <dc:description/>
  <cp:lastModifiedBy>Milling, Crawford</cp:lastModifiedBy>
  <cp:revision>7</cp:revision>
  <dcterms:created xsi:type="dcterms:W3CDTF">2025-02-10T14:40:00Z</dcterms:created>
  <dcterms:modified xsi:type="dcterms:W3CDTF">2025-02-10T20:31:00Z</dcterms:modified>
</cp:coreProperties>
</file>