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788B" w14:textId="62895188" w:rsidR="001D104D" w:rsidRPr="001D104D" w:rsidRDefault="001D104D" w:rsidP="001D104D">
      <w:pPr>
        <w:spacing w:line="240" w:lineRule="auto"/>
        <w:jc w:val="center"/>
        <w:rPr>
          <w:b/>
        </w:rPr>
      </w:pPr>
      <w:r>
        <w:rPr>
          <w:b/>
        </w:rPr>
        <w:t xml:space="preserve">FOLLOW-UP </w:t>
      </w:r>
      <w:r w:rsidRPr="001D104D">
        <w:rPr>
          <w:b/>
        </w:rPr>
        <w:t>MEMORANDUM</w:t>
      </w:r>
    </w:p>
    <w:p w14:paraId="18A22D9D" w14:textId="77777777" w:rsidR="001D104D" w:rsidRPr="001D104D" w:rsidRDefault="001D104D" w:rsidP="001D104D">
      <w:pPr>
        <w:spacing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bottom w:w="120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7768"/>
      </w:tblGrid>
      <w:tr w:rsidR="001D104D" w:rsidRPr="001D104D" w14:paraId="58CE685E" w14:textId="77777777" w:rsidTr="00463F0D">
        <w:tc>
          <w:tcPr>
            <w:tcW w:w="985" w:type="dxa"/>
          </w:tcPr>
          <w:p w14:paraId="20BC8D98" w14:textId="77777777" w:rsidR="001D104D" w:rsidRPr="001D104D" w:rsidRDefault="001D104D" w:rsidP="001D104D">
            <w:pPr>
              <w:spacing w:after="160"/>
              <w:rPr>
                <w:b/>
                <w:bCs/>
              </w:rPr>
            </w:pPr>
            <w:r w:rsidRPr="001D104D">
              <w:rPr>
                <w:b/>
                <w:bCs/>
              </w:rPr>
              <w:t>TO:</w:t>
            </w:r>
          </w:p>
        </w:tc>
        <w:tc>
          <w:tcPr>
            <w:tcW w:w="7768" w:type="dxa"/>
          </w:tcPr>
          <w:p w14:paraId="7C90C47A" w14:textId="20D212D1" w:rsidR="001D104D" w:rsidRPr="001D104D" w:rsidRDefault="001D104D" w:rsidP="001D104D">
            <w:pPr>
              <w:spacing w:after="160"/>
            </w:pPr>
            <w:r w:rsidRPr="001D104D">
              <w:t xml:space="preserve">Agency </w:t>
            </w:r>
            <w:r>
              <w:t xml:space="preserve">Finance </w:t>
            </w:r>
            <w:r w:rsidRPr="001D104D">
              <w:t>Directors and Procurement Directors</w:t>
            </w:r>
          </w:p>
        </w:tc>
      </w:tr>
      <w:tr w:rsidR="001D104D" w:rsidRPr="001D104D" w14:paraId="334CE775" w14:textId="77777777" w:rsidTr="00463F0D">
        <w:tc>
          <w:tcPr>
            <w:tcW w:w="985" w:type="dxa"/>
          </w:tcPr>
          <w:p w14:paraId="0186B54B" w14:textId="77777777" w:rsidR="001D104D" w:rsidRPr="001D104D" w:rsidRDefault="001D104D" w:rsidP="001D104D">
            <w:pPr>
              <w:spacing w:after="160"/>
              <w:rPr>
                <w:b/>
                <w:bCs/>
              </w:rPr>
            </w:pPr>
            <w:r w:rsidRPr="001D104D">
              <w:rPr>
                <w:b/>
                <w:bCs/>
              </w:rPr>
              <w:t>FROM:</w:t>
            </w:r>
          </w:p>
        </w:tc>
        <w:tc>
          <w:tcPr>
            <w:tcW w:w="7768" w:type="dxa"/>
          </w:tcPr>
          <w:p w14:paraId="27E5BB3D" w14:textId="6300FF09" w:rsidR="001D104D" w:rsidRPr="001D104D" w:rsidRDefault="001D104D" w:rsidP="001D104D">
            <w:pPr>
              <w:spacing w:after="160"/>
            </w:pPr>
            <w:r>
              <w:t>John St. C. White</w:t>
            </w:r>
          </w:p>
        </w:tc>
      </w:tr>
      <w:tr w:rsidR="001D104D" w:rsidRPr="001D104D" w14:paraId="71FF2BCF" w14:textId="77777777" w:rsidTr="00463F0D">
        <w:tc>
          <w:tcPr>
            <w:tcW w:w="985" w:type="dxa"/>
          </w:tcPr>
          <w:p w14:paraId="28583FBF" w14:textId="77777777" w:rsidR="001D104D" w:rsidRPr="001D104D" w:rsidRDefault="001D104D" w:rsidP="001D104D">
            <w:pPr>
              <w:spacing w:after="160"/>
              <w:rPr>
                <w:b/>
                <w:bCs/>
              </w:rPr>
            </w:pPr>
            <w:r w:rsidRPr="001D104D">
              <w:rPr>
                <w:b/>
                <w:bCs/>
              </w:rPr>
              <w:t>DATE:</w:t>
            </w:r>
          </w:p>
        </w:tc>
        <w:sdt>
          <w:sdtPr>
            <w:alias w:val="memoDate"/>
            <w:tag w:val="memoDate"/>
            <w:id w:val="228044477"/>
            <w:placeholder>
              <w:docPart w:val="2754E360619A4311A4F7088D77FCE4BF"/>
            </w:placeholder>
            <w:dataBinding w:prefixMappings="xmlns:ns0='http://schemas.openxmlformats.org/officeDocument/2006/bibliography' " w:xpath="/ns0:Sources[1]/ns0:ccMap[1]/ns0:CCMapChild_memoDate[1]" w:storeItemID="{54C5B8FB-5F83-4C55-A1F0-2DA9C3295106}"/>
            <w:date w:fullDate="2025-07-17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768" w:type="dxa"/>
              </w:tcPr>
              <w:p w14:paraId="5C92421D" w14:textId="6898DD8F" w:rsidR="001D104D" w:rsidRPr="001D104D" w:rsidRDefault="001D104D" w:rsidP="001D104D">
                <w:pPr>
                  <w:spacing w:after="160"/>
                </w:pPr>
                <w:r>
                  <w:t>July 17, 2025</w:t>
                </w:r>
              </w:p>
            </w:tc>
          </w:sdtContent>
        </w:sdt>
      </w:tr>
      <w:tr w:rsidR="001D104D" w:rsidRPr="001D104D" w14:paraId="6E148B02" w14:textId="77777777" w:rsidTr="00463F0D">
        <w:tc>
          <w:tcPr>
            <w:tcW w:w="985" w:type="dxa"/>
          </w:tcPr>
          <w:p w14:paraId="6540A17A" w14:textId="77777777" w:rsidR="001D104D" w:rsidRPr="001D104D" w:rsidRDefault="001D104D" w:rsidP="001D104D">
            <w:pPr>
              <w:spacing w:after="160"/>
              <w:rPr>
                <w:b/>
                <w:bCs/>
              </w:rPr>
            </w:pPr>
            <w:r w:rsidRPr="001D104D">
              <w:rPr>
                <w:b/>
                <w:bCs/>
              </w:rPr>
              <w:t>RE:</w:t>
            </w:r>
          </w:p>
        </w:tc>
        <w:tc>
          <w:tcPr>
            <w:tcW w:w="7768" w:type="dxa"/>
          </w:tcPr>
          <w:p w14:paraId="7B7FBA21" w14:textId="77777777" w:rsidR="001D104D" w:rsidRPr="001D104D" w:rsidRDefault="001D104D" w:rsidP="001D104D">
            <w:pPr>
              <w:spacing w:after="160"/>
            </w:pPr>
            <w:r w:rsidRPr="001D104D">
              <w:t xml:space="preserve">Fiscal Year 2025-2026 Budget - Proviso 104.10 </w:t>
            </w:r>
          </w:p>
        </w:tc>
      </w:tr>
    </w:tbl>
    <w:p w14:paraId="57593C91" w14:textId="365A4578" w:rsidR="00733B40" w:rsidRPr="00733B40" w:rsidRDefault="00733B40" w:rsidP="00733B40">
      <w:pPr>
        <w:spacing w:line="240" w:lineRule="auto"/>
      </w:pPr>
      <w:r w:rsidRPr="00733B40">
        <w:t>We have received several questions about key obligations of Agency Directors in Director Gillespie’s July 10, 2025</w:t>
      </w:r>
      <w:r>
        <w:t>,</w:t>
      </w:r>
      <w:r w:rsidRPr="00733B40">
        <w:t xml:space="preserve"> memo </w:t>
      </w:r>
      <w:r w:rsidR="00CC50E9" w:rsidRPr="00733B40">
        <w:t>about</w:t>
      </w:r>
      <w:r w:rsidRPr="00733B40">
        <w:t xml:space="preserve"> Proviso 104.10.</w:t>
      </w:r>
      <w:r w:rsidR="00CC50E9">
        <w:t xml:space="preserve"> Below, you will find further guidance based on the questions we are receiving:</w:t>
      </w:r>
    </w:p>
    <w:p w14:paraId="424CA4AA" w14:textId="0A391A7D" w:rsidR="00733B40" w:rsidRDefault="00733B40" w:rsidP="00733B40">
      <w:pPr>
        <w:spacing w:line="240" w:lineRule="auto"/>
      </w:pPr>
      <w:r w:rsidRPr="00733B40">
        <w:rPr>
          <w:b/>
          <w:bCs/>
        </w:rPr>
        <w:t>Obligation 1</w:t>
      </w:r>
      <w:r>
        <w:rPr>
          <w:b/>
          <w:bCs/>
        </w:rPr>
        <w:t>:</w:t>
      </w:r>
    </w:p>
    <w:p w14:paraId="5699705E" w14:textId="4B9C3290" w:rsidR="00733B40" w:rsidRPr="00733B40" w:rsidRDefault="00733B40" w:rsidP="00733B40">
      <w:pPr>
        <w:spacing w:line="240" w:lineRule="auto"/>
        <w:ind w:left="720" w:right="720"/>
      </w:pPr>
      <w:r w:rsidRPr="00733B40">
        <w:t>By October 1, 2025, obtain a compliance audit of the agency’s P-Card program by a qualified auditor not connected with the P-Card program and send the audit results and corrective action plans to Procurement Services.</w:t>
      </w:r>
    </w:p>
    <w:p w14:paraId="5778BBA3" w14:textId="77777777" w:rsidR="00733B40" w:rsidRPr="00733B40" w:rsidRDefault="00733B40" w:rsidP="00733B40">
      <w:pPr>
        <w:pStyle w:val="ListParagraph"/>
        <w:numPr>
          <w:ilvl w:val="0"/>
          <w:numId w:val="3"/>
        </w:numPr>
        <w:spacing w:line="240" w:lineRule="auto"/>
        <w:ind w:right="720"/>
      </w:pPr>
      <w:r w:rsidRPr="00733B40">
        <w:t>Audit for compliance with the current State P-Card Policy and agency internal procedures.</w:t>
      </w:r>
    </w:p>
    <w:p w14:paraId="4DC32EDC" w14:textId="77777777" w:rsidR="00733B40" w:rsidRPr="00733B40" w:rsidRDefault="00733B40" w:rsidP="00733B40">
      <w:pPr>
        <w:pStyle w:val="ListParagraph"/>
        <w:numPr>
          <w:ilvl w:val="0"/>
          <w:numId w:val="3"/>
        </w:numPr>
        <w:spacing w:line="240" w:lineRule="auto"/>
        <w:ind w:right="720"/>
      </w:pPr>
      <w:r w:rsidRPr="00733B40">
        <w:t xml:space="preserve">A qualified auditor not connected with the P-Card program excludes the P-Card Administrator but </w:t>
      </w:r>
      <w:r w:rsidRPr="002920F9">
        <w:rPr>
          <w:b/>
          <w:bCs/>
          <w:u w:val="single"/>
        </w:rPr>
        <w:t>does not require a CPA Firm</w:t>
      </w:r>
    </w:p>
    <w:p w14:paraId="53E9952C" w14:textId="3B0105DC" w:rsidR="00733B40" w:rsidRDefault="00733B40" w:rsidP="00733B40">
      <w:pPr>
        <w:pStyle w:val="ListParagraph"/>
        <w:numPr>
          <w:ilvl w:val="0"/>
          <w:numId w:val="3"/>
        </w:numPr>
        <w:spacing w:line="240" w:lineRule="auto"/>
        <w:ind w:right="720"/>
      </w:pPr>
      <w:r w:rsidRPr="00733B40">
        <w:t>Procurement Services has prepared the attached procedures and a checklist that the agency may follow for this purpose</w:t>
      </w:r>
    </w:p>
    <w:p w14:paraId="56242668" w14:textId="455A7142" w:rsidR="00733B40" w:rsidRPr="00733B40" w:rsidRDefault="00733B40" w:rsidP="00B953D4">
      <w:pPr>
        <w:spacing w:line="240" w:lineRule="auto"/>
      </w:pPr>
      <w:r w:rsidRPr="00733B40">
        <w:t xml:space="preserve">Using a CPA firm </w:t>
      </w:r>
      <w:r>
        <w:t>to fulfill th</w:t>
      </w:r>
      <w:r w:rsidRPr="00733B40">
        <w:t xml:space="preserve">is </w:t>
      </w:r>
      <w:r>
        <w:t xml:space="preserve">obligation is </w:t>
      </w:r>
      <w:r w:rsidRPr="00733B40">
        <w:t xml:space="preserve">not a requirement. We called the procedures AUPs because that refers to a level of service that </w:t>
      </w:r>
      <w:r>
        <w:t xml:space="preserve">CPAs </w:t>
      </w:r>
      <w:r w:rsidRPr="00733B40">
        <w:t xml:space="preserve">are familiar with and for which we take responsibility for the sufficiency of the procedures. So, if you do hire a CPA, please give them the </w:t>
      </w:r>
      <w:r w:rsidR="001D104D">
        <w:t>Agreed Upon P</w:t>
      </w:r>
      <w:r w:rsidRPr="00733B40">
        <w:t>rocedures we provided.</w:t>
      </w:r>
    </w:p>
    <w:p w14:paraId="5BF230F2" w14:textId="43DCFF3E" w:rsidR="00733B40" w:rsidRPr="00733B40" w:rsidRDefault="00733B40" w:rsidP="00733B40">
      <w:pPr>
        <w:spacing w:line="240" w:lineRule="auto"/>
      </w:pPr>
      <w:r w:rsidRPr="00733B40">
        <w:t>Some CPA firms have indicated that they do not have the bandwidth to conduct this audit while they are doing audits of state fiscal years. The P-Card audit period does not have to be the same as the agency’s fiscal year. Additionally, if your agency had a P-Card audit and issued a report in the last 6 months, that will be sufficient for this year.</w:t>
      </w:r>
    </w:p>
    <w:p w14:paraId="17C115F0" w14:textId="53C51E6B" w:rsidR="00733B40" w:rsidRPr="00733B40" w:rsidRDefault="00733B40" w:rsidP="00733B40">
      <w:pPr>
        <w:spacing w:line="240" w:lineRule="auto"/>
      </w:pPr>
      <w:r w:rsidRPr="00733B40">
        <w:t xml:space="preserve">Related to hiring an accountant or auditor, such as a CPA, or other qualified auditor, the procurement Code 11-35-1250 says that “no contract for auditing or accounting services shall be awarded without the approval of the State Auditor.” The State Auditor’s Office </w:t>
      </w:r>
      <w:r w:rsidR="00B953D4" w:rsidRPr="00B953D4">
        <w:t xml:space="preserve">can </w:t>
      </w:r>
      <w:proofErr w:type="gramStart"/>
      <w:r w:rsidR="00B953D4" w:rsidRPr="00B953D4">
        <w:t>assist</w:t>
      </w:r>
      <w:proofErr w:type="gramEnd"/>
      <w:r w:rsidR="00B953D4" w:rsidRPr="00B953D4">
        <w:t xml:space="preserve"> with finding a firm.</w:t>
      </w:r>
    </w:p>
    <w:p w14:paraId="17355BE0" w14:textId="0DFD1139" w:rsidR="00733B40" w:rsidRPr="00733B40" w:rsidRDefault="00733B40" w:rsidP="00733B40">
      <w:pPr>
        <w:spacing w:line="240" w:lineRule="auto"/>
      </w:pPr>
      <w:r w:rsidRPr="00733B40">
        <w:lastRenderedPageBreak/>
        <w:t>Several agencies have asked what a qualified auditor is. First and foremost, that would be someone not associated with your agency’s P-Card program</w:t>
      </w:r>
      <w:r>
        <w:t>. In other words</w:t>
      </w:r>
      <w:r w:rsidRPr="00733B40">
        <w:t xml:space="preserve">, </w:t>
      </w:r>
      <w:r>
        <w:t xml:space="preserve">it excludes a </w:t>
      </w:r>
      <w:r w:rsidRPr="00733B40">
        <w:t>cardholder, supervisor/approver, liaison</w:t>
      </w:r>
      <w:r>
        <w:t>,</w:t>
      </w:r>
      <w:r w:rsidRPr="00733B40">
        <w:t xml:space="preserve"> or P-Card Administrator. Agency internal auditors </w:t>
      </w:r>
      <w:r>
        <w:t xml:space="preserve">may </w:t>
      </w:r>
      <w:r w:rsidRPr="00733B40">
        <w:t>conduct the audit using the procedures in the Agreed Upon Procedures (AUP). </w:t>
      </w:r>
      <w:r w:rsidR="001D104D">
        <w:t xml:space="preserve">Confusion has arisen from the fact that only a CPA may conduct an AUP engagement. However, as noted above, it was not the intent to require an agency to use a CPA to fulfill this obligation. </w:t>
      </w:r>
      <w:r w:rsidR="00EA65C3">
        <w:t xml:space="preserve">For your convenience, you will find attached a </w:t>
      </w:r>
      <w:r w:rsidR="00EA65C3">
        <w:rPr>
          <w:i/>
          <w:iCs/>
        </w:rPr>
        <w:t xml:space="preserve">Guide for Assessing Agency Purchasing Program for Compliance with State Procedures by Individuals Other Than a CPA. </w:t>
      </w:r>
      <w:r w:rsidRPr="00733B40">
        <w:t xml:space="preserve">Anyone </w:t>
      </w:r>
      <w:r w:rsidR="00EA65C3">
        <w:t>who</w:t>
      </w:r>
      <w:r w:rsidRPr="00733B40">
        <w:t xml:space="preserve"> can understand and follow th</w:t>
      </w:r>
      <w:r>
        <w:t>e steps contained in th</w:t>
      </w:r>
      <w:r w:rsidR="00EA65C3">
        <w:t>i</w:t>
      </w:r>
      <w:r w:rsidRPr="00733B40">
        <w:t>s</w:t>
      </w:r>
      <w:r w:rsidR="00EA65C3">
        <w:t xml:space="preserve"> Guide</w:t>
      </w:r>
      <w:r w:rsidRPr="00733B40">
        <w:t xml:space="preserve"> </w:t>
      </w:r>
      <w:r w:rsidR="00EA65C3">
        <w:t>may</w:t>
      </w:r>
      <w:r w:rsidRPr="00733B40">
        <w:t xml:space="preserve"> conduct </w:t>
      </w:r>
      <w:r w:rsidR="002920F9">
        <w:t>an assessment using those steps</w:t>
      </w:r>
      <w:r w:rsidRPr="00733B40">
        <w:t>. Audits performed by anyone other than a CPA would follow the</w:t>
      </w:r>
      <w:r w:rsidR="00195A4F">
        <w:t>se</w:t>
      </w:r>
      <w:r w:rsidRPr="00733B40">
        <w:t xml:space="preserve"> </w:t>
      </w:r>
      <w:r>
        <w:t>steps</w:t>
      </w:r>
      <w:r w:rsidR="00EA65C3">
        <w:t xml:space="preserve">. </w:t>
      </w:r>
      <w:r>
        <w:t xml:space="preserve">We recommend </w:t>
      </w:r>
      <w:r w:rsidR="002920F9">
        <w:t xml:space="preserve">titling </w:t>
      </w:r>
      <w:r w:rsidR="00195A4F">
        <w:t xml:space="preserve">a </w:t>
      </w:r>
      <w:r w:rsidR="002920F9">
        <w:t xml:space="preserve">report </w:t>
      </w:r>
      <w:r w:rsidR="00195A4F">
        <w:t xml:space="preserve">resulting from following these steps </w:t>
      </w:r>
      <w:r w:rsidR="002920F9">
        <w:t xml:space="preserve">“Report of Compliance Assessment of </w:t>
      </w:r>
      <w:r w:rsidR="00195A4F" w:rsidRPr="00195A4F">
        <w:t xml:space="preserve">[Agency Name] </w:t>
      </w:r>
      <w:r w:rsidR="002920F9">
        <w:t>P-Card Program.”</w:t>
      </w:r>
    </w:p>
    <w:p w14:paraId="5CF94EEA" w14:textId="1403EBEE" w:rsidR="00733B40" w:rsidRPr="00733B40" w:rsidRDefault="00733B40" w:rsidP="002920F9">
      <w:pPr>
        <w:spacing w:after="240" w:line="240" w:lineRule="auto"/>
      </w:pPr>
      <w:r w:rsidRPr="00733B40">
        <w:t xml:space="preserve">Some small agencies have asked about cross auditing each other. This is fine </w:t>
      </w:r>
      <w:r w:rsidR="002920F9" w:rsidRPr="00733B40">
        <w:t>if</w:t>
      </w:r>
      <w:r w:rsidRPr="00733B40">
        <w:t xml:space="preserve"> the person conducting the work is independent and objective.</w:t>
      </w:r>
    </w:p>
    <w:p w14:paraId="46CC333D" w14:textId="77777777" w:rsidR="002920F9" w:rsidRDefault="00733B40" w:rsidP="00733B40">
      <w:pPr>
        <w:spacing w:line="240" w:lineRule="auto"/>
      </w:pPr>
      <w:r w:rsidRPr="00733B40">
        <w:rPr>
          <w:b/>
          <w:bCs/>
        </w:rPr>
        <w:t>Obligation 2</w:t>
      </w:r>
      <w:r w:rsidRPr="00733B40">
        <w:t xml:space="preserve"> </w:t>
      </w:r>
    </w:p>
    <w:p w14:paraId="5C03EFB4" w14:textId="22D6739E" w:rsidR="00733B40" w:rsidRDefault="00733B40" w:rsidP="001D104D">
      <w:pPr>
        <w:spacing w:after="120" w:line="240" w:lineRule="auto"/>
        <w:ind w:left="720" w:right="720"/>
      </w:pPr>
      <w:r w:rsidRPr="00862DA0">
        <w:rPr>
          <w:b/>
          <w:bCs/>
        </w:rPr>
        <w:t>After October 15, 2025</w:t>
      </w:r>
      <w:r w:rsidRPr="00733B40">
        <w:t xml:space="preserve">, ensure that no P-Card supervisory or oversight roles are assigned nor P-Cards issued to </w:t>
      </w:r>
      <w:r w:rsidRPr="002920F9">
        <w:rPr>
          <w:b/>
          <w:bCs/>
        </w:rPr>
        <w:t>new</w:t>
      </w:r>
      <w:r w:rsidRPr="002920F9">
        <w:t xml:space="preserve"> cardholders</w:t>
      </w:r>
      <w:r w:rsidRPr="00733B40">
        <w:t xml:space="preserve"> before such employees complete P-Card training and successfully pass P-Card testing offered by Procurement Services.</w:t>
      </w:r>
    </w:p>
    <w:p w14:paraId="5DCA04AB" w14:textId="48FCA262" w:rsidR="00733B40" w:rsidRDefault="00733B40" w:rsidP="00B953D4">
      <w:pPr>
        <w:spacing w:line="240" w:lineRule="auto"/>
      </w:pPr>
      <w:r w:rsidRPr="00733B40">
        <w:t xml:space="preserve">DPS has developed </w:t>
      </w:r>
      <w:r w:rsidR="002920F9">
        <w:t xml:space="preserve">online/on-demand </w:t>
      </w:r>
      <w:r w:rsidRPr="00733B40">
        <w:t xml:space="preserve">level 1 training, including a test, and will be announcing </w:t>
      </w:r>
      <w:r w:rsidR="002920F9">
        <w:t xml:space="preserve">the availability of </w:t>
      </w:r>
      <w:r w:rsidRPr="00733B40">
        <w:t xml:space="preserve">that </w:t>
      </w:r>
      <w:r w:rsidR="002920F9">
        <w:t xml:space="preserve">training </w:t>
      </w:r>
      <w:r w:rsidRPr="00733B40">
        <w:t>any day now. </w:t>
      </w:r>
      <w:r w:rsidR="002920F9">
        <w:t xml:space="preserve">DPS is currently developing </w:t>
      </w:r>
      <w:r w:rsidRPr="00733B40">
        <w:t>Level 2 training</w:t>
      </w:r>
      <w:r w:rsidR="002920F9">
        <w:t xml:space="preserve"> as an online/on-demand offering,</w:t>
      </w:r>
      <w:r w:rsidRPr="00733B40">
        <w:t xml:space="preserve"> and </w:t>
      </w:r>
      <w:r w:rsidR="002920F9">
        <w:t xml:space="preserve">it </w:t>
      </w:r>
      <w:r w:rsidRPr="00733B40">
        <w:t>will be available by October 15.</w:t>
      </w:r>
    </w:p>
    <w:p w14:paraId="2E850414" w14:textId="534E6905" w:rsidR="00862DA0" w:rsidRPr="00733B40" w:rsidRDefault="00862DA0" w:rsidP="002920F9">
      <w:pPr>
        <w:spacing w:after="240" w:line="240" w:lineRule="auto"/>
      </w:pPr>
      <w:r>
        <w:t xml:space="preserve">Employees with a </w:t>
      </w:r>
      <w:r w:rsidRPr="00862DA0">
        <w:t>P-Card supervisory or oversight role</w:t>
      </w:r>
      <w:r>
        <w:t xml:space="preserve"> are </w:t>
      </w:r>
      <w:r w:rsidRPr="00862DA0">
        <w:t>supervisor/approvers, liaisons, and P-Card Administrators</w:t>
      </w:r>
      <w:r>
        <w:t>.</w:t>
      </w:r>
    </w:p>
    <w:p w14:paraId="212CC0E6" w14:textId="327EE6CC" w:rsidR="002920F9" w:rsidRDefault="00733B40" w:rsidP="00733B40">
      <w:pPr>
        <w:spacing w:line="240" w:lineRule="auto"/>
      </w:pPr>
      <w:r w:rsidRPr="00733B40">
        <w:rPr>
          <w:b/>
          <w:bCs/>
        </w:rPr>
        <w:t>Obligation 3</w:t>
      </w:r>
      <w:r w:rsidRPr="00733B40">
        <w:t xml:space="preserve"> </w:t>
      </w:r>
    </w:p>
    <w:p w14:paraId="733CC1D4" w14:textId="70239C36" w:rsidR="00733B40" w:rsidRPr="00733B40" w:rsidRDefault="00733B40" w:rsidP="002920F9">
      <w:pPr>
        <w:spacing w:line="240" w:lineRule="auto"/>
        <w:ind w:left="720" w:right="720"/>
      </w:pPr>
      <w:r w:rsidRPr="00733B40">
        <w:t>By April 15, 2026, ensure that every P-Card holder and those with responsibility for implementation and oversight of the Agency’s P-Card program as of October 15, 2025, have completed the P-Card training and successfully passed the P-Card testing provided by Procurement Services.</w:t>
      </w:r>
    </w:p>
    <w:p w14:paraId="72D01B36" w14:textId="6D65769B" w:rsidR="00733B40" w:rsidRPr="00733B40" w:rsidRDefault="00733B40" w:rsidP="00862DA0">
      <w:pPr>
        <w:spacing w:after="240" w:line="240" w:lineRule="auto"/>
      </w:pPr>
      <w:r w:rsidRPr="00733B40">
        <w:t>This applies to existing P-Card holders</w:t>
      </w:r>
      <w:r w:rsidR="00862DA0">
        <w:t xml:space="preserve">, supervisor/approvers, liaisons, and </w:t>
      </w:r>
      <w:r w:rsidR="00862DA0" w:rsidRPr="00862DA0">
        <w:t>P-Card Administrator</w:t>
      </w:r>
      <w:r w:rsidR="00862DA0">
        <w:t>s</w:t>
      </w:r>
      <w:r w:rsidRPr="00733B40">
        <w:t>.</w:t>
      </w:r>
    </w:p>
    <w:p w14:paraId="5C9E4341" w14:textId="77777777" w:rsidR="00862DA0" w:rsidRDefault="00733B40" w:rsidP="00733B40">
      <w:pPr>
        <w:spacing w:line="240" w:lineRule="auto"/>
        <w:rPr>
          <w:b/>
          <w:bCs/>
        </w:rPr>
      </w:pPr>
      <w:r w:rsidRPr="00733B40">
        <w:rPr>
          <w:b/>
          <w:bCs/>
        </w:rPr>
        <w:t>Obligation 4</w:t>
      </w:r>
    </w:p>
    <w:p w14:paraId="7E2FBF17" w14:textId="5DAC9950" w:rsidR="00733B40" w:rsidRPr="00733B40" w:rsidRDefault="00733B40" w:rsidP="00862DA0">
      <w:pPr>
        <w:spacing w:line="240" w:lineRule="auto"/>
        <w:ind w:left="720" w:right="720"/>
      </w:pPr>
      <w:r w:rsidRPr="00733B40">
        <w:t>Ensure the Agency develops, implements, and provides Procurement Services with documentation of an internal P-Card annual training program for employees with responsibility for supervision or oversight of P-Card programs and for all P-Card holders. This program will provide training on the Agency’s internal P-Card use manual.</w:t>
      </w:r>
    </w:p>
    <w:p w14:paraId="334B9A5C" w14:textId="64411642" w:rsidR="00733B40" w:rsidRPr="00733B40" w:rsidRDefault="00733B40" w:rsidP="00862DA0">
      <w:pPr>
        <w:spacing w:after="240" w:line="240" w:lineRule="auto"/>
      </w:pPr>
      <w:r w:rsidRPr="00733B40">
        <w:t xml:space="preserve">These training programs do not have to be sent to DPS since 2 and 3 address training using Procurement Services training and testing. Agency specific training </w:t>
      </w:r>
      <w:r w:rsidR="00862DA0">
        <w:t>w</w:t>
      </w:r>
      <w:r w:rsidRPr="00733B40">
        <w:t>ould cover things specific to the agency’s P-Card use such as internal PCA email address and phone number, typical Single Transaction Limits, etc.  This training is required to be documented and should be available during a procurement audit by Audit &amp; Certification.</w:t>
      </w:r>
    </w:p>
    <w:p w14:paraId="615DC70A" w14:textId="77777777" w:rsidR="00733B40" w:rsidRDefault="00733B40" w:rsidP="00733B40">
      <w:pPr>
        <w:spacing w:line="240" w:lineRule="auto"/>
      </w:pPr>
      <w:r w:rsidRPr="00733B40">
        <w:lastRenderedPageBreak/>
        <w:t>If you still have questions, please send Crawford Milling an e-mail at the address below.</w:t>
      </w:r>
    </w:p>
    <w:p w14:paraId="1E09965E" w14:textId="5F5A65B0" w:rsidR="00862DA0" w:rsidRDefault="00862DA0" w:rsidP="00862DA0">
      <w:pPr>
        <w:spacing w:after="0" w:line="240" w:lineRule="auto"/>
      </w:pPr>
      <w:r>
        <w:t>Crawford Milling</w:t>
      </w:r>
    </w:p>
    <w:p w14:paraId="3E6F222A" w14:textId="64D016DA" w:rsidR="00862DA0" w:rsidRPr="00862DA0" w:rsidRDefault="00862DA0" w:rsidP="00862DA0">
      <w:pPr>
        <w:spacing w:after="0" w:line="240" w:lineRule="auto"/>
      </w:pPr>
      <w:r w:rsidRPr="00862DA0">
        <w:t>(803)737-0647</w:t>
      </w:r>
    </w:p>
    <w:p w14:paraId="487E82EB" w14:textId="77777777" w:rsidR="00862DA0" w:rsidRPr="00862DA0" w:rsidRDefault="00B953D4" w:rsidP="00862DA0">
      <w:pPr>
        <w:spacing w:line="240" w:lineRule="auto"/>
        <w:rPr>
          <w:u w:val="single"/>
        </w:rPr>
      </w:pPr>
      <w:hyperlink r:id="rId7" w:history="1">
        <w:r w:rsidR="00862DA0" w:rsidRPr="00862DA0">
          <w:rPr>
            <w:rStyle w:val="Hyperlink"/>
          </w:rPr>
          <w:t>dcmilling@mmo.sc.gov</w:t>
        </w:r>
      </w:hyperlink>
    </w:p>
    <w:p w14:paraId="27C824C9" w14:textId="13ACF5F4" w:rsidR="00862DA0" w:rsidRPr="00733B40" w:rsidRDefault="00862DA0" w:rsidP="00733B40">
      <w:pPr>
        <w:spacing w:line="240" w:lineRule="auto"/>
      </w:pPr>
    </w:p>
    <w:p w14:paraId="1D5931DC" w14:textId="77777777" w:rsidR="00363102" w:rsidRDefault="00363102"/>
    <w:sectPr w:rsidR="00363102" w:rsidSect="001D104D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B2BF" w14:textId="77777777" w:rsidR="001D104D" w:rsidRDefault="001D104D" w:rsidP="001D104D">
      <w:pPr>
        <w:spacing w:after="0" w:line="240" w:lineRule="auto"/>
      </w:pPr>
      <w:r>
        <w:separator/>
      </w:r>
    </w:p>
  </w:endnote>
  <w:endnote w:type="continuationSeparator" w:id="0">
    <w:p w14:paraId="71538D85" w14:textId="77777777" w:rsidR="001D104D" w:rsidRDefault="001D104D" w:rsidP="001D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7333" w14:textId="77777777" w:rsidR="001D104D" w:rsidRDefault="001D104D" w:rsidP="001D104D">
      <w:pPr>
        <w:spacing w:after="0" w:line="240" w:lineRule="auto"/>
      </w:pPr>
      <w:r>
        <w:separator/>
      </w:r>
    </w:p>
  </w:footnote>
  <w:footnote w:type="continuationSeparator" w:id="0">
    <w:p w14:paraId="4D8C2E01" w14:textId="77777777" w:rsidR="001D104D" w:rsidRDefault="001D104D" w:rsidP="001D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442C" w14:textId="7DD0B5E5" w:rsidR="001D104D" w:rsidRDefault="001D104D" w:rsidP="001D104D">
    <w:pPr>
      <w:pStyle w:val="Header"/>
      <w:tabs>
        <w:tab w:val="clear" w:pos="4680"/>
        <w:tab w:val="clear" w:pos="9360"/>
        <w:tab w:val="left" w:pos="1651"/>
      </w:tabs>
    </w:pPr>
    <w:r>
      <w:tab/>
    </w:r>
    <w:r w:rsidRPr="001D104D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4ADF1ADC" wp14:editId="6C164FBF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EFF"/>
    <w:multiLevelType w:val="hybridMultilevel"/>
    <w:tmpl w:val="A8008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04478"/>
    <w:multiLevelType w:val="hybridMultilevel"/>
    <w:tmpl w:val="907EDD8E"/>
    <w:lvl w:ilvl="0" w:tplc="9EDE1A68">
      <w:numFmt w:val="bullet"/>
      <w:lvlText w:val="-"/>
      <w:lvlJc w:val="left"/>
      <w:pPr>
        <w:ind w:left="1140" w:hanging="360"/>
      </w:pPr>
      <w:rPr>
        <w:rFonts w:ascii="Garamond" w:eastAsia="Aptos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2041973991">
    <w:abstractNumId w:val="1"/>
  </w:num>
  <w:num w:numId="2" w16cid:durableId="640423502">
    <w:abstractNumId w:val="1"/>
  </w:num>
  <w:num w:numId="3" w16cid:durableId="151992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40"/>
    <w:rsid w:val="00134ECE"/>
    <w:rsid w:val="00195A4F"/>
    <w:rsid w:val="001D104D"/>
    <w:rsid w:val="002920F9"/>
    <w:rsid w:val="00363102"/>
    <w:rsid w:val="004B40DB"/>
    <w:rsid w:val="004C543F"/>
    <w:rsid w:val="006E08B0"/>
    <w:rsid w:val="00733B40"/>
    <w:rsid w:val="00862DA0"/>
    <w:rsid w:val="008970DE"/>
    <w:rsid w:val="008B4852"/>
    <w:rsid w:val="0097371B"/>
    <w:rsid w:val="00973E70"/>
    <w:rsid w:val="009C571C"/>
    <w:rsid w:val="00B953D4"/>
    <w:rsid w:val="00CC50E9"/>
    <w:rsid w:val="00CD41F0"/>
    <w:rsid w:val="00EA65C3"/>
    <w:rsid w:val="00F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1BED"/>
  <w15:chartTrackingRefBased/>
  <w15:docId w15:val="{F91F37C8-51E7-4530-A8D7-2EDF03B5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B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2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D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4D"/>
  </w:style>
  <w:style w:type="paragraph" w:styleId="Footer">
    <w:name w:val="footer"/>
    <w:basedOn w:val="Normal"/>
    <w:link w:val="FooterChar"/>
    <w:uiPriority w:val="99"/>
    <w:unhideWhenUsed/>
    <w:rsid w:val="001D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4D"/>
  </w:style>
  <w:style w:type="table" w:styleId="TableGrid">
    <w:name w:val="Table Grid"/>
    <w:basedOn w:val="TableNormal"/>
    <w:uiPriority w:val="59"/>
    <w:rsid w:val="001D10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cmilling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54E360619A4311A4F7088D77FC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DC431-A5BB-493F-B36B-95A3DF8AF748}"/>
      </w:docPartPr>
      <w:docPartBody>
        <w:p w:rsidR="000C16C0" w:rsidRDefault="000C16C0" w:rsidP="000C16C0">
          <w:pPr>
            <w:pStyle w:val="2754E360619A4311A4F7088D77FCE4BF"/>
          </w:pPr>
          <w:r w:rsidRPr="005A59B5">
            <w:rPr>
              <w:rStyle w:val="PlaceholderText"/>
            </w:rPr>
            <w:t>Click to enter or select "memoDate"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C0"/>
    <w:rsid w:val="000C16C0"/>
    <w:rsid w:val="008B4852"/>
    <w:rsid w:val="009C571C"/>
    <w:rsid w:val="00F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6C0"/>
    <w:rPr>
      <w:color w:val="808080"/>
    </w:rPr>
  </w:style>
  <w:style w:type="paragraph" w:customStyle="1" w:styleId="2754E360619A4311A4F7088D77FCE4BF">
    <w:name w:val="2754E360619A4311A4F7088D77FCE4BF"/>
    <w:rsid w:val="000C1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4330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John</dc:creator>
  <cp:keywords/>
  <dc:description/>
  <cp:lastModifiedBy>White, John</cp:lastModifiedBy>
  <cp:revision>2</cp:revision>
  <dcterms:created xsi:type="dcterms:W3CDTF">2025-07-18T15:53:00Z</dcterms:created>
  <dcterms:modified xsi:type="dcterms:W3CDTF">2025-07-18T15:53:00Z</dcterms:modified>
</cp:coreProperties>
</file>