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C55BC3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360</w:t>
      </w:r>
    </w:p>
    <w:p w:rsidR="00DF154C" w:rsidRPr="009045E0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RENCE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Pr="009045E0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NOTICE OF </w:t>
      </w:r>
      <w:r w:rsidRPr="009045E0">
        <w:rPr>
          <w:b/>
          <w:bCs/>
          <w:color w:val="000000"/>
          <w:sz w:val="26"/>
          <w:szCs w:val="26"/>
        </w:rPr>
        <w:t>INTENT TO AWARD</w:t>
      </w:r>
    </w:p>
    <w:p w:rsidR="00DF154C" w:rsidRPr="00BF1F22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BF1F22">
        <w:rPr>
          <w:b/>
          <w:sz w:val="16"/>
          <w:szCs w:val="16"/>
          <w:u w:val="double"/>
        </w:rPr>
        <w:tab/>
      </w:r>
    </w:p>
    <w:p w:rsidR="00DF154C" w:rsidRPr="00BC4681" w:rsidRDefault="00DF154C" w:rsidP="00755656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755656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75565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885DEC" w:rsidRDefault="00885DEC" w:rsidP="00885DEC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:rsidR="00F8491D" w:rsidRPr="009045E0" w:rsidRDefault="00F8491D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above 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070616">
        <w:rPr>
          <w:bCs/>
          <w:color w:val="000000"/>
          <w:sz w:val="18"/>
          <w:szCs w:val="18"/>
        </w:rPr>
        <w:t xml:space="preserve">a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 xml:space="preserve">ontractor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Pr="009045E0">
        <w:rPr>
          <w:bCs/>
          <w:color w:val="000000"/>
          <w:sz w:val="18"/>
          <w:szCs w:val="18"/>
        </w:rPr>
        <w:t xml:space="preserve">and </w:t>
      </w:r>
      <w:r w:rsidR="00025B5F" w:rsidRPr="009045E0">
        <w:rPr>
          <w:bCs/>
          <w:color w:val="000000"/>
          <w:sz w:val="18"/>
          <w:szCs w:val="18"/>
        </w:rPr>
        <w:t>for</w:t>
      </w:r>
      <w:r w:rsidRPr="009045E0">
        <w:rPr>
          <w:bCs/>
          <w:color w:val="000000"/>
          <w:sz w:val="18"/>
          <w:szCs w:val="18"/>
        </w:rPr>
        <w:t xml:space="preserve"> the amount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:rsidR="001820A0" w:rsidRPr="001820A0" w:rsidRDefault="001820A0" w:rsidP="00755656">
      <w:pPr>
        <w:widowControl w:val="0"/>
        <w:tabs>
          <w:tab w:val="right" w:pos="-540"/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>INTENDED AWARDEE</w:t>
      </w:r>
      <w:r w:rsidR="00B40FFD">
        <w:rPr>
          <w:b/>
          <w:bCs/>
          <w:color w:val="000000"/>
          <w:sz w:val="20"/>
          <w:szCs w:val="20"/>
        </w:rPr>
        <w:t xml:space="preserve"> </w:t>
      </w:r>
      <w:r w:rsidR="00B40FFD" w:rsidRPr="00B40FFD">
        <w:rPr>
          <w:b/>
          <w:bCs/>
          <w:i/>
          <w:color w:val="000000"/>
          <w:sz w:val="20"/>
          <w:szCs w:val="20"/>
        </w:rPr>
        <w:t>(Contractor)</w:t>
      </w:r>
      <w:r w:rsidRPr="001820A0">
        <w:rPr>
          <w:b/>
          <w:bCs/>
          <w:color w:val="000000"/>
          <w:sz w:val="20"/>
          <w:szCs w:val="20"/>
        </w:rPr>
        <w:t>:</w:t>
      </w:r>
      <w:r w:rsidR="00593B70"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1820A0" w:rsidRDefault="001820A0" w:rsidP="0075565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 xml:space="preserve">AWARD AMOUNT: </w:t>
      </w:r>
      <w:r w:rsidRPr="00BF1F22">
        <w:rPr>
          <w:b/>
          <w:bCs/>
          <w:color w:val="000000"/>
          <w:sz w:val="20"/>
          <w:szCs w:val="20"/>
          <w:u w:val="single"/>
        </w:rPr>
        <w:t xml:space="preserve"> $</w:t>
      </w:r>
      <w:r w:rsidR="00A00CDE" w:rsidRPr="00BF1F22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B40FFD" w:rsidRPr="00B40FFD" w:rsidRDefault="00B40FFD" w:rsidP="00755656">
      <w:pPr>
        <w:tabs>
          <w:tab w:val="right" w:pos="10224"/>
          <w:tab w:val="right" w:pos="10260"/>
        </w:tabs>
        <w:spacing w:before="240"/>
        <w:rPr>
          <w:sz w:val="20"/>
          <w:szCs w:val="20"/>
        </w:rPr>
      </w:pPr>
      <w:r w:rsidRPr="00B40FFD">
        <w:rPr>
          <w:b/>
          <w:sz w:val="20"/>
          <w:szCs w:val="20"/>
        </w:rPr>
        <w:t xml:space="preserve">DATE BIDS WERE </w:t>
      </w:r>
      <w:r>
        <w:rPr>
          <w:b/>
          <w:sz w:val="20"/>
          <w:szCs w:val="20"/>
        </w:rPr>
        <w:t>OPENED</w:t>
      </w:r>
      <w:r w:rsidRPr="00B40FFD">
        <w:rPr>
          <w:b/>
          <w:sz w:val="20"/>
          <w:szCs w:val="20"/>
        </w:rPr>
        <w:t>:</w:t>
      </w:r>
      <w:r w:rsidR="00504C93" w:rsidRPr="00A00CDE">
        <w:rPr>
          <w:b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B40FFD">
        <w:rPr>
          <w:sz w:val="20"/>
          <w:szCs w:val="20"/>
          <w:u w:val="single"/>
        </w:rPr>
        <w:tab/>
      </w:r>
    </w:p>
    <w:p w:rsidR="001820A0" w:rsidRPr="00B1192C" w:rsidRDefault="001820A0" w:rsidP="0075565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Improvements, Part II</w:t>
      </w:r>
      <w:r w:rsidRPr="009045E0">
        <w:rPr>
          <w:color w:val="000000"/>
          <w:sz w:val="18"/>
          <w:szCs w:val="18"/>
        </w:rPr>
        <w:t xml:space="preserve"> and that the proposed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 for construction services in sup</w:t>
      </w:r>
      <w:r w:rsidR="003A62FB" w:rsidRPr="009045E0">
        <w:rPr>
          <w:color w:val="000000"/>
          <w:sz w:val="18"/>
          <w:szCs w:val="18"/>
        </w:rPr>
        <w:t>port of the above-named 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755656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18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 xml:space="preserve">DATE: </w:t>
      </w:r>
      <w:bookmarkStart w:id="1" w:name="Text4"/>
      <w:r w:rsidR="001820A0" w:rsidRPr="00755656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755656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755656">
        <w:rPr>
          <w:color w:val="000000"/>
          <w:sz w:val="20"/>
          <w:szCs w:val="20"/>
          <w:u w:val="single"/>
        </w:rPr>
      </w:r>
      <w:r w:rsidR="001820A0" w:rsidRPr="00755656">
        <w:rPr>
          <w:color w:val="000000"/>
          <w:sz w:val="20"/>
          <w:szCs w:val="20"/>
          <w:u w:val="single"/>
        </w:rPr>
        <w:fldChar w:fldCharType="separate"/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 xml:space="preserve">PRINT NAME: </w:t>
      </w:r>
      <w:bookmarkStart w:id="2" w:name="Text6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8303D8">
        <w:rPr>
          <w:color w:val="000000"/>
          <w:sz w:val="20"/>
          <w:szCs w:val="20"/>
        </w:rPr>
        <w:t xml:space="preserve"> </w:t>
      </w:r>
      <w:bookmarkStart w:id="3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610BA" w:rsidP="0075565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8303D8">
        <w:rPr>
          <w:color w:val="000000"/>
          <w:sz w:val="20"/>
          <w:szCs w:val="20"/>
          <w:u w:val="thick"/>
        </w:rPr>
        <w:tab/>
      </w:r>
    </w:p>
    <w:bookmarkStart w:id="4" w:name="Check1"/>
    <w:p w:rsidR="008303D8" w:rsidRDefault="00407B5F" w:rsidP="00755656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8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1F37C8">
        <w:rPr>
          <w:b/>
          <w:color w:val="000000"/>
          <w:sz w:val="20"/>
          <w:szCs w:val="20"/>
        </w:rPr>
      </w:r>
      <w:r w:rsidR="001F37C8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4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bookmarkStart w:id="5" w:name="Text10"/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5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466AE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  <w:u w:val="thick"/>
        </w:rPr>
        <w:tab/>
      </w:r>
    </w:p>
    <w:bookmarkStart w:id="6" w:name="Check2"/>
    <w:p w:rsidR="00E36ECC" w:rsidRPr="008303D8" w:rsidRDefault="00407B5F" w:rsidP="00755656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8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1F37C8">
        <w:rPr>
          <w:b/>
          <w:color w:val="000000"/>
          <w:sz w:val="20"/>
          <w:szCs w:val="20"/>
        </w:rPr>
      </w:r>
      <w:r w:rsidR="001F37C8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6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8303D8">
        <w:rPr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>
        <w:rPr>
          <w:color w:val="000000"/>
          <w:sz w:val="20"/>
          <w:szCs w:val="20"/>
          <w:u w:val="single"/>
        </w:rPr>
        <w:instrText xml:space="preserve"> FORMTEXT </w:instrText>
      </w:r>
      <w:r w:rsidR="008303D8">
        <w:rPr>
          <w:color w:val="000000"/>
          <w:sz w:val="20"/>
          <w:szCs w:val="20"/>
          <w:u w:val="single"/>
        </w:rPr>
      </w:r>
      <w:r w:rsidR="008303D8">
        <w:rPr>
          <w:color w:val="000000"/>
          <w:sz w:val="20"/>
          <w:szCs w:val="20"/>
          <w:u w:val="single"/>
        </w:rPr>
        <w:fldChar w:fldCharType="separate"/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color w:val="000000"/>
          <w:sz w:val="20"/>
          <w:szCs w:val="20"/>
          <w:u w:val="single"/>
        </w:rPr>
        <w:fldChar w:fldCharType="end"/>
      </w:r>
      <w:bookmarkEnd w:id="7"/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B1192C" w:rsidRDefault="00407C7E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SE-360.</w:t>
      </w:r>
    </w:p>
    <w:p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>Copy of t</w:t>
      </w:r>
      <w:r w:rsidRPr="009045E0">
        <w:rPr>
          <w:sz w:val="16"/>
          <w:szCs w:val="16"/>
        </w:rPr>
        <w:t>he lowest responsive and responsible Bidder’s Bid Form, including Bid Security with Power of Attorney.</w:t>
      </w:r>
    </w:p>
    <w:p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That bidder’s Bid Form, and</w:t>
      </w:r>
    </w:p>
    <w:p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proposed </w:t>
      </w:r>
      <w:r w:rsidR="00070616">
        <w:rPr>
          <w:color w:val="000000"/>
          <w:sz w:val="16"/>
          <w:szCs w:val="16"/>
        </w:rPr>
        <w:t xml:space="preserve">SE-370, </w:t>
      </w:r>
      <w:r w:rsidRPr="009045E0">
        <w:rPr>
          <w:color w:val="000000"/>
          <w:sz w:val="16"/>
          <w:szCs w:val="16"/>
        </w:rPr>
        <w:t>Notice of Intent to Award.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9045E0">
        <w:rPr>
          <w:sz w:val="16"/>
          <w:szCs w:val="16"/>
        </w:rPr>
        <w:t>Contractor licenses, if applicable, for the lowest responsive and responsible bidder and his listed subcontractors (</w:t>
      </w:r>
      <w:r w:rsidRPr="009045E0">
        <w:rPr>
          <w:i/>
          <w:sz w:val="16"/>
          <w:szCs w:val="16"/>
        </w:rPr>
        <w:t xml:space="preserve">may be obtained from LLR’s website at </w:t>
      </w:r>
      <w:hyperlink r:id="rId8" w:history="1">
        <w:r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Pr="009045E0">
        <w:rPr>
          <w:i/>
          <w:sz w:val="16"/>
          <w:szCs w:val="16"/>
        </w:rPr>
        <w:t>.  Select the category “Contractors – Commercial” or, if applicable, “Burglar Alarm, Fire Alarm &amp; Fire Sprinkler”, and follow the instructions.)</w:t>
      </w:r>
    </w:p>
    <w:p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Copy of the project A/E’s latest cost estimate for the work, if different from the estimate on Page 2 of the SE-310.</w:t>
      </w:r>
    </w:p>
    <w:sectPr w:rsidR="009045E0" w:rsidRPr="009045E0" w:rsidSect="00755656">
      <w:headerReference w:type="default" r:id="rId9"/>
      <w:footerReference w:type="default" r:id="rId10"/>
      <w:type w:val="continuous"/>
      <w:pgSz w:w="12240" w:h="15840" w:code="1"/>
      <w:pgMar w:top="576" w:right="864" w:bottom="432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5" w:rsidRDefault="00732865">
      <w:r>
        <w:separator/>
      </w:r>
    </w:p>
  </w:endnote>
  <w:endnote w:type="continuationSeparator" w:id="0">
    <w:p w:rsidR="00732865" w:rsidRDefault="007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755656" w:rsidRDefault="00B1192C" w:rsidP="00B1192C">
    <w:pPr>
      <w:pStyle w:val="Foot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SE-360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5" w:rsidRDefault="00732865">
      <w:r>
        <w:separator/>
      </w:r>
    </w:p>
  </w:footnote>
  <w:footnote w:type="continuationSeparator" w:id="0">
    <w:p w:rsidR="00732865" w:rsidRDefault="0073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56" w:rsidRPr="00755656" w:rsidRDefault="00755656" w:rsidP="00755656">
    <w:pPr>
      <w:pStyle w:val="Head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hNp4w0LCjrKHGraPsdQMrC15yE=" w:salt="JHs7emxyUZ2o7yS8EqRi9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9793C"/>
    <w:rsid w:val="000C10C7"/>
    <w:rsid w:val="000D62C0"/>
    <w:rsid w:val="000F0F0C"/>
    <w:rsid w:val="000F6428"/>
    <w:rsid w:val="001203CF"/>
    <w:rsid w:val="00164AA9"/>
    <w:rsid w:val="00172297"/>
    <w:rsid w:val="001820A0"/>
    <w:rsid w:val="00191042"/>
    <w:rsid w:val="00192DE0"/>
    <w:rsid w:val="001C0C63"/>
    <w:rsid w:val="001D1880"/>
    <w:rsid w:val="001F37C8"/>
    <w:rsid w:val="00230131"/>
    <w:rsid w:val="00247645"/>
    <w:rsid w:val="002751CC"/>
    <w:rsid w:val="00280EF1"/>
    <w:rsid w:val="00287022"/>
    <w:rsid w:val="002A7093"/>
    <w:rsid w:val="002D7FDE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32865"/>
    <w:rsid w:val="00755656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85DEC"/>
    <w:rsid w:val="008A2617"/>
    <w:rsid w:val="008A2D33"/>
    <w:rsid w:val="008E7F5E"/>
    <w:rsid w:val="009045E0"/>
    <w:rsid w:val="00915A39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7EA2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BF1F22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y.llronline.com/LicLookup/LookupMa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2720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11</cp:revision>
  <cp:lastPrinted>2008-03-20T20:12:00Z</cp:lastPrinted>
  <dcterms:created xsi:type="dcterms:W3CDTF">2014-11-10T19:15:00Z</dcterms:created>
  <dcterms:modified xsi:type="dcterms:W3CDTF">2017-12-21T20:19:00Z</dcterms:modified>
</cp:coreProperties>
</file>