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D4E6" w14:textId="77777777" w:rsidR="006913D8" w:rsidRPr="004B5C73" w:rsidRDefault="006913D8" w:rsidP="006913D8">
      <w:pPr>
        <w:rPr>
          <w:rFonts w:ascii="Garamond" w:hAnsi="Garamond"/>
        </w:rPr>
      </w:pPr>
      <w:r>
        <w:rPr>
          <w:rFonts w:ascii="Garamond" w:hAnsi="Garamond"/>
        </w:rPr>
        <w:t>P</w:t>
      </w:r>
      <w:r w:rsidRPr="004B5C73">
        <w:rPr>
          <w:rFonts w:ascii="Garamond" w:hAnsi="Garamond"/>
        </w:rPr>
        <w:t>lease briefly define what constitutes professional services.</w:t>
      </w:r>
    </w:p>
    <w:p w14:paraId="0F8B5672" w14:textId="77777777" w:rsidR="00BB1DDA" w:rsidRPr="00BB1DDA" w:rsidRDefault="00BB1DDA" w:rsidP="00BB1DDA">
      <w:pPr>
        <w:rPr>
          <w:rFonts w:ascii="Garamond" w:hAnsi="Garamond"/>
        </w:rPr>
      </w:pPr>
      <w:r w:rsidRPr="00BB1DDA">
        <w:rPr>
          <w:rFonts w:ascii="Garamond" w:hAnsi="Garamond"/>
        </w:rPr>
        <w:t>Generally, professional services are those that require specialized knowledge, training, and expertise, often intellectual. Examples include attorneys, CPAs, and marketing firms, which are classified as professional services and typically have a blocked MCC. These services are usually linked to specific projects or unique needs, not part of routine operations. A contract is usually required</w:t>
      </w:r>
      <w:r w:rsidR="00EB622A">
        <w:rPr>
          <w:rFonts w:ascii="Garamond" w:hAnsi="Garamond"/>
        </w:rPr>
        <w:t xml:space="preserve"> for professional services</w:t>
      </w:r>
      <w:r w:rsidRPr="00BB1DDA">
        <w:rPr>
          <w:rFonts w:ascii="Garamond" w:hAnsi="Garamond"/>
        </w:rPr>
        <w:t xml:space="preserve"> to specify the scope of work</w:t>
      </w:r>
      <w:r w:rsidR="00EB622A">
        <w:rPr>
          <w:rFonts w:ascii="Garamond" w:hAnsi="Garamond"/>
        </w:rPr>
        <w:t xml:space="preserve"> and deliverables</w:t>
      </w:r>
      <w:r w:rsidRPr="00BB1DDA">
        <w:rPr>
          <w:rFonts w:ascii="Garamond" w:hAnsi="Garamond"/>
        </w:rPr>
        <w:t>.</w:t>
      </w:r>
    </w:p>
    <w:p w14:paraId="6F80138D" w14:textId="77777777" w:rsidR="004F79CD" w:rsidRDefault="004F79CD" w:rsidP="004F79CD">
      <w:pPr>
        <w:pStyle w:val="ListParagraph"/>
        <w:numPr>
          <w:ilvl w:val="0"/>
          <w:numId w:val="1"/>
        </w:numPr>
        <w:ind w:left="0" w:hanging="180"/>
        <w:rPr>
          <w:rFonts w:ascii="Garamond" w:hAnsi="Garamond"/>
        </w:rPr>
      </w:pPr>
      <w:r>
        <w:rPr>
          <w:rFonts w:ascii="Garamond" w:hAnsi="Garamond"/>
        </w:rPr>
        <w:t>May</w:t>
      </w:r>
      <w:r w:rsidR="004B5C73" w:rsidRPr="004B5C73">
        <w:rPr>
          <w:rFonts w:ascii="Garamond" w:hAnsi="Garamond"/>
        </w:rPr>
        <w:t xml:space="preserve"> the purchasing card be used for services that do not have a blocked MCC</w:t>
      </w:r>
      <w:r>
        <w:rPr>
          <w:rFonts w:ascii="Garamond" w:hAnsi="Garamond"/>
        </w:rPr>
        <w:t>?</w:t>
      </w:r>
      <w:r w:rsidR="004B5C73" w:rsidRPr="004B5C73">
        <w:rPr>
          <w:rFonts w:ascii="Garamond" w:hAnsi="Garamond"/>
        </w:rPr>
        <w:t xml:space="preserve"> </w:t>
      </w:r>
    </w:p>
    <w:p w14:paraId="1F7AF4A5" w14:textId="77777777" w:rsidR="00BB1DDA" w:rsidRPr="00BB1DDA" w:rsidRDefault="00BB1DDA" w:rsidP="00BB1DDA">
      <w:pPr>
        <w:rPr>
          <w:rFonts w:ascii="Garamond" w:hAnsi="Garamond"/>
        </w:rPr>
      </w:pPr>
      <w:r w:rsidRPr="00BB1DDA">
        <w:rPr>
          <w:rFonts w:ascii="Garamond" w:hAnsi="Garamond"/>
        </w:rPr>
        <w:t xml:space="preserve">For example, a plumbing company's MCC is not blocked. </w:t>
      </w:r>
    </w:p>
    <w:p w14:paraId="4B08317C" w14:textId="77777777" w:rsidR="00BB1DDA" w:rsidRPr="00BB1DDA" w:rsidRDefault="00BB1DDA" w:rsidP="00BB1DDA">
      <w:pPr>
        <w:rPr>
          <w:rFonts w:ascii="Garamond" w:hAnsi="Garamond"/>
        </w:rPr>
      </w:pPr>
      <w:r w:rsidRPr="00BB1DDA">
        <w:rPr>
          <w:rFonts w:ascii="Garamond" w:hAnsi="Garamond"/>
        </w:rPr>
        <w:t>If the scope of the plumbing service is simple and easy to determine as complete, that does not seem unreasonable. Often</w:t>
      </w:r>
      <w:r>
        <w:rPr>
          <w:rFonts w:ascii="Garamond" w:hAnsi="Garamond"/>
        </w:rPr>
        <w:t xml:space="preserve"> </w:t>
      </w:r>
      <w:r w:rsidRPr="00BB1DDA">
        <w:rPr>
          <w:rFonts w:ascii="Garamond" w:hAnsi="Garamond"/>
        </w:rPr>
        <w:t xml:space="preserve">reliance and trust must be placed on the expertise of </w:t>
      </w:r>
      <w:r w:rsidR="006913D8">
        <w:rPr>
          <w:rFonts w:ascii="Garamond" w:hAnsi="Garamond"/>
        </w:rPr>
        <w:t>an individual</w:t>
      </w:r>
      <w:r w:rsidRPr="00BB1DDA">
        <w:rPr>
          <w:rFonts w:ascii="Garamond" w:hAnsi="Garamond"/>
        </w:rPr>
        <w:t xml:space="preserve"> o</w:t>
      </w:r>
      <w:r>
        <w:rPr>
          <w:rFonts w:ascii="Garamond" w:eastAsia="Garamond" w:hAnsi="Garamond" w:cs="Garamond"/>
        </w:rPr>
        <w:t>ff</w:t>
      </w:r>
      <w:r w:rsidRPr="00BB1DDA">
        <w:rPr>
          <w:rFonts w:ascii="Garamond" w:hAnsi="Garamond"/>
        </w:rPr>
        <w:t xml:space="preserve">ering </w:t>
      </w:r>
      <w:r>
        <w:rPr>
          <w:rFonts w:ascii="Garamond" w:hAnsi="Garamond"/>
        </w:rPr>
        <w:t>skilled or licensed</w:t>
      </w:r>
      <w:r w:rsidRPr="00BB1DDA">
        <w:rPr>
          <w:rFonts w:ascii="Garamond" w:hAnsi="Garamond"/>
        </w:rPr>
        <w:t xml:space="preserve"> services.</w:t>
      </w:r>
      <w:r>
        <w:rPr>
          <w:rFonts w:ascii="Garamond" w:hAnsi="Garamond"/>
        </w:rPr>
        <w:t xml:space="preserve"> </w:t>
      </w:r>
      <w:r w:rsidRPr="00BB1DDA">
        <w:rPr>
          <w:rFonts w:ascii="Garamond" w:hAnsi="Garamond"/>
        </w:rPr>
        <w:t>If the scope of work gets more broad or complex, or require</w:t>
      </w:r>
      <w:r w:rsidR="006913D8">
        <w:rPr>
          <w:rFonts w:ascii="Garamond" w:hAnsi="Garamond"/>
        </w:rPr>
        <w:t>s</w:t>
      </w:r>
      <w:r w:rsidRPr="00BB1DDA">
        <w:rPr>
          <w:rFonts w:ascii="Garamond" w:hAnsi="Garamond"/>
        </w:rPr>
        <w:t xml:space="preserve"> a written agreement prior to performing the work, and when in doubt, do not pay with a P-Card.</w:t>
      </w:r>
    </w:p>
    <w:p w14:paraId="145F5032" w14:textId="77777777" w:rsidR="00BB1DDA" w:rsidRPr="00BB1DDA" w:rsidRDefault="006913D8" w:rsidP="00BB1DDA">
      <w:pPr>
        <w:rPr>
          <w:rFonts w:ascii="Garamond" w:hAnsi="Garamond"/>
        </w:rPr>
      </w:pPr>
      <w:r>
        <w:rPr>
          <w:rFonts w:ascii="Garamond" w:hAnsi="Garamond"/>
        </w:rPr>
        <w:t>H</w:t>
      </w:r>
      <w:r w:rsidR="00BB1DDA" w:rsidRPr="00BB1DDA">
        <w:rPr>
          <w:rFonts w:ascii="Garamond" w:hAnsi="Garamond"/>
        </w:rPr>
        <w:t xml:space="preserve">iring a plumber </w:t>
      </w:r>
      <w:r>
        <w:rPr>
          <w:rFonts w:ascii="Garamond" w:hAnsi="Garamond"/>
        </w:rPr>
        <w:t>w</w:t>
      </w:r>
      <w:r w:rsidR="00BB1DDA" w:rsidRPr="00BB1DDA">
        <w:rPr>
          <w:rFonts w:ascii="Garamond" w:hAnsi="Garamond"/>
        </w:rPr>
        <w:t xml:space="preserve">ould be considered a professional service; thus, the purchasing card should not be used for this purpose. </w:t>
      </w:r>
    </w:p>
    <w:p w14:paraId="27944217" w14:textId="77777777" w:rsidR="00BB1DDA" w:rsidRPr="004F79CD" w:rsidRDefault="00BB1DDA" w:rsidP="00BB1DDA">
      <w:pPr>
        <w:rPr>
          <w:rFonts w:ascii="Garamond" w:hAnsi="Garamond"/>
        </w:rPr>
      </w:pPr>
      <w:r w:rsidRPr="004F79CD">
        <w:rPr>
          <w:rFonts w:ascii="Garamond" w:hAnsi="Garamond"/>
        </w:rPr>
        <w:t>In addition to the blocked MCCs there are prohibited purchases in Section IV E</w:t>
      </w:r>
      <w:r w:rsidR="00517670">
        <w:rPr>
          <w:rFonts w:ascii="Garamond" w:hAnsi="Garamond"/>
        </w:rPr>
        <w:t xml:space="preserve"> of the State P-Card Policy</w:t>
      </w:r>
      <w:r w:rsidRPr="004F79CD">
        <w:rPr>
          <w:rFonts w:ascii="Garamond" w:hAnsi="Garamond"/>
        </w:rPr>
        <w:t>.</w:t>
      </w:r>
    </w:p>
    <w:p w14:paraId="7DB84178" w14:textId="77777777" w:rsidR="004B5C73" w:rsidRPr="004B5C73" w:rsidRDefault="004B5C73" w:rsidP="004B5C73">
      <w:pPr>
        <w:rPr>
          <w:rFonts w:ascii="Garamond" w:hAnsi="Garamond"/>
        </w:rPr>
      </w:pPr>
      <w:r w:rsidRPr="004B5C73">
        <w:rPr>
          <w:rFonts w:ascii="Garamond" w:hAnsi="Garamond"/>
        </w:rPr>
        <w:t>The reason for the prohibited purchase is because the scope of work is project specific, based on a scope of</w:t>
      </w:r>
      <w:r>
        <w:rPr>
          <w:rFonts w:ascii="Garamond" w:hAnsi="Garamond"/>
        </w:rPr>
        <w:t xml:space="preserve"> </w:t>
      </w:r>
      <w:r w:rsidRPr="004B5C73">
        <w:rPr>
          <w:rFonts w:ascii="Garamond" w:hAnsi="Garamond"/>
        </w:rPr>
        <w:t>work, and there are typically specific deliverables that agency management will want to accept, as satisfying the purpose of the contract or engagement letter. Payment with a P-Card</w:t>
      </w:r>
      <w:r>
        <w:rPr>
          <w:rFonts w:ascii="Garamond" w:hAnsi="Garamond"/>
        </w:rPr>
        <w:t xml:space="preserve"> </w:t>
      </w:r>
      <w:r w:rsidRPr="004B5C73">
        <w:rPr>
          <w:rFonts w:ascii="Garamond" w:hAnsi="Garamond"/>
        </w:rPr>
        <w:t>may occur prematurely without end user acceptance</w:t>
      </w:r>
      <w:r w:rsidR="006913D8">
        <w:rPr>
          <w:rFonts w:ascii="Garamond" w:hAnsi="Garamond"/>
        </w:rPr>
        <w:t>, and therefore, the project should not be paid with the P-Card</w:t>
      </w:r>
      <w:r w:rsidRPr="004B5C73">
        <w:rPr>
          <w:rFonts w:ascii="Garamond" w:hAnsi="Garamond"/>
        </w:rPr>
        <w:t>.</w:t>
      </w:r>
    </w:p>
    <w:p w14:paraId="20B4A5FC" w14:textId="77777777" w:rsidR="004B5C73" w:rsidRPr="004B5C73" w:rsidRDefault="004B5C73" w:rsidP="004F79CD">
      <w:pPr>
        <w:pStyle w:val="ListParagraph"/>
        <w:numPr>
          <w:ilvl w:val="0"/>
          <w:numId w:val="1"/>
        </w:numPr>
        <w:ind w:left="0" w:hanging="180"/>
        <w:rPr>
          <w:rFonts w:ascii="Garamond" w:hAnsi="Garamond"/>
        </w:rPr>
      </w:pPr>
      <w:r w:rsidRPr="004B5C73">
        <w:rPr>
          <w:rFonts w:ascii="Garamond" w:hAnsi="Garamond"/>
        </w:rPr>
        <w:t>Does the MCC indicate whether a purchase is authorized (unblocked MCC) or prohibited (blocked MCC)?</w:t>
      </w:r>
    </w:p>
    <w:p w14:paraId="4D508518" w14:textId="77777777" w:rsidR="004B5C73" w:rsidRPr="004B5C73" w:rsidRDefault="004B5C73" w:rsidP="004B5C73">
      <w:pPr>
        <w:rPr>
          <w:rFonts w:ascii="Garamond" w:hAnsi="Garamond"/>
        </w:rPr>
      </w:pPr>
      <w:r w:rsidRPr="004B5C73">
        <w:rPr>
          <w:rFonts w:ascii="Garamond" w:hAnsi="Garamond"/>
        </w:rPr>
        <w:t>Merchants are assigned an MCC based on the primary business in which they are engaged. It is entirely possible for</w:t>
      </w:r>
      <w:r w:rsidR="004F79CD">
        <w:rPr>
          <w:rFonts w:ascii="Garamond" w:hAnsi="Garamond"/>
        </w:rPr>
        <w:t xml:space="preserve"> </w:t>
      </w:r>
      <w:r w:rsidRPr="004B5C73">
        <w:rPr>
          <w:rFonts w:ascii="Garamond" w:hAnsi="Garamond"/>
        </w:rPr>
        <w:t>the same vendor to offer some products or services that are allowable, and some which are prohibited. If the product or</w:t>
      </w:r>
      <w:r w:rsidR="004F79CD">
        <w:rPr>
          <w:rFonts w:ascii="Garamond" w:hAnsi="Garamond"/>
        </w:rPr>
        <w:t xml:space="preserve"> </w:t>
      </w:r>
      <w:r w:rsidRPr="004B5C73">
        <w:rPr>
          <w:rFonts w:ascii="Garamond" w:hAnsi="Garamond"/>
        </w:rPr>
        <w:t>service has either a blocked MCC or is prohibited or both, it is prohibited. Just because the MCC is not blocked does not</w:t>
      </w:r>
      <w:r w:rsidR="004F79CD">
        <w:rPr>
          <w:rFonts w:ascii="Garamond" w:hAnsi="Garamond"/>
        </w:rPr>
        <w:t xml:space="preserve"> </w:t>
      </w:r>
      <w:r w:rsidRPr="004B5C73">
        <w:rPr>
          <w:rFonts w:ascii="Garamond" w:hAnsi="Garamond"/>
        </w:rPr>
        <w:t>make it acceptable.</w:t>
      </w:r>
    </w:p>
    <w:p w14:paraId="250ECDAD" w14:textId="77777777" w:rsidR="004B5C73" w:rsidRPr="006913D8" w:rsidRDefault="00227B02" w:rsidP="004B5C73">
      <w:pPr>
        <w:pStyle w:val="ListParagraph"/>
        <w:numPr>
          <w:ilvl w:val="0"/>
          <w:numId w:val="1"/>
        </w:numPr>
        <w:ind w:left="0" w:hanging="180"/>
        <w:rPr>
          <w:rFonts w:ascii="Garamond" w:hAnsi="Garamond"/>
        </w:rPr>
      </w:pPr>
      <w:r>
        <w:rPr>
          <w:rFonts w:ascii="Garamond" w:hAnsi="Garamond"/>
        </w:rPr>
        <w:t>T</w:t>
      </w:r>
      <w:r w:rsidR="006913D8" w:rsidRPr="006913D8">
        <w:rPr>
          <w:rFonts w:ascii="Garamond" w:hAnsi="Garamond"/>
        </w:rPr>
        <w:t xml:space="preserve">here </w:t>
      </w:r>
      <w:r>
        <w:rPr>
          <w:rFonts w:ascii="Garamond" w:hAnsi="Garamond"/>
        </w:rPr>
        <w:t>is</w:t>
      </w:r>
      <w:r w:rsidR="006913D8" w:rsidRPr="006913D8">
        <w:rPr>
          <w:rFonts w:ascii="Garamond" w:hAnsi="Garamond"/>
        </w:rPr>
        <w:t xml:space="preserve"> a list of professional services that are exempt from the Code </w:t>
      </w:r>
      <w:r>
        <w:rPr>
          <w:rFonts w:ascii="Garamond" w:hAnsi="Garamond"/>
        </w:rPr>
        <w:t xml:space="preserve">that would fall into the category </w:t>
      </w:r>
      <w:r w:rsidR="004B5C73" w:rsidRPr="006913D8">
        <w:rPr>
          <w:rFonts w:ascii="Garamond" w:hAnsi="Garamond"/>
        </w:rPr>
        <w:t xml:space="preserve">that are not permitted to be </w:t>
      </w:r>
      <w:r w:rsidR="00EB622A">
        <w:rPr>
          <w:rFonts w:ascii="Garamond" w:hAnsi="Garamond"/>
        </w:rPr>
        <w:t>paid</w:t>
      </w:r>
      <w:r w:rsidR="004B5C73" w:rsidRPr="006913D8">
        <w:rPr>
          <w:rFonts w:ascii="Garamond" w:hAnsi="Garamond"/>
        </w:rPr>
        <w:t xml:space="preserve"> </w:t>
      </w:r>
      <w:r w:rsidR="00EB622A">
        <w:rPr>
          <w:rFonts w:ascii="Garamond" w:hAnsi="Garamond"/>
        </w:rPr>
        <w:t>with</w:t>
      </w:r>
      <w:r w:rsidR="004B5C73" w:rsidRPr="006913D8">
        <w:rPr>
          <w:rFonts w:ascii="Garamond" w:hAnsi="Garamond"/>
        </w:rPr>
        <w:t xml:space="preserve"> the purchasing card</w:t>
      </w:r>
      <w:r w:rsidR="00EB622A">
        <w:rPr>
          <w:rFonts w:ascii="Garamond" w:hAnsi="Garamond"/>
        </w:rPr>
        <w:t>:</w:t>
      </w:r>
    </w:p>
    <w:p w14:paraId="43F5252A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Academic Consultants for CHE</w:t>
      </w:r>
    </w:p>
    <w:p w14:paraId="2E9F8264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Actuaries</w:t>
      </w:r>
    </w:p>
    <w:p w14:paraId="385A10C4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Appraisers</w:t>
      </w:r>
    </w:p>
    <w:p w14:paraId="72421241" w14:textId="77777777" w:rsidR="004F79CD" w:rsidRPr="004F79CD" w:rsidRDefault="004F79CD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Architect-Engineer and Land Surveying services</w:t>
      </w:r>
    </w:p>
    <w:p w14:paraId="6BC34CC2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Artists</w:t>
      </w:r>
    </w:p>
    <w:p w14:paraId="3E64A623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Attorneys</w:t>
      </w:r>
    </w:p>
    <w:p w14:paraId="364669B4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lastRenderedPageBreak/>
        <w:t>Auditors and accountants</w:t>
      </w:r>
    </w:p>
    <w:p w14:paraId="4651E1D3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Brokerage services</w:t>
      </w:r>
    </w:p>
    <w:p w14:paraId="4E5147C6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Clergy</w:t>
      </w:r>
    </w:p>
    <w:p w14:paraId="1F3B54E4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Court Reporters</w:t>
      </w:r>
    </w:p>
    <w:p w14:paraId="42348020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Dentists</w:t>
      </w:r>
    </w:p>
    <w:p w14:paraId="73242889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Doctors</w:t>
      </w:r>
    </w:p>
    <w:p w14:paraId="4D33F299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Expert witnesses</w:t>
      </w:r>
    </w:p>
    <w:p w14:paraId="5CEEC7E6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Hospital and Medical Clinics</w:t>
      </w:r>
    </w:p>
    <w:p w14:paraId="4F77A71C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Investment Counselors</w:t>
      </w:r>
    </w:p>
    <w:p w14:paraId="3C52ADDF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RNs and LPNs</w:t>
      </w:r>
    </w:p>
    <w:p w14:paraId="4AE50F8A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Occupational, Physical and Speech Therapists</w:t>
      </w:r>
    </w:p>
    <w:p w14:paraId="5091FE91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Optometrists</w:t>
      </w:r>
    </w:p>
    <w:p w14:paraId="0BDFEDED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Osteopaths</w:t>
      </w:r>
    </w:p>
    <w:p w14:paraId="28B74A22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Psychiatrists</w:t>
      </w:r>
    </w:p>
    <w:p w14:paraId="1AA3B433" w14:textId="77777777" w:rsidR="004B5C73" w:rsidRPr="004F79CD" w:rsidRDefault="004B5C73" w:rsidP="00227B02">
      <w:pPr>
        <w:pStyle w:val="ListParagraph"/>
        <w:numPr>
          <w:ilvl w:val="1"/>
          <w:numId w:val="1"/>
        </w:numPr>
        <w:spacing w:after="0" w:line="276" w:lineRule="auto"/>
        <w:ind w:left="907"/>
        <w:rPr>
          <w:rFonts w:ascii="Garamond" w:hAnsi="Garamond"/>
        </w:rPr>
      </w:pPr>
      <w:r w:rsidRPr="004F79CD">
        <w:rPr>
          <w:rFonts w:ascii="Garamond" w:hAnsi="Garamond"/>
        </w:rPr>
        <w:t>Veterinary Services</w:t>
      </w:r>
    </w:p>
    <w:sectPr w:rsidR="004B5C73" w:rsidRPr="004F79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0F27" w14:textId="77777777" w:rsidR="004B5C73" w:rsidRDefault="004B5C73" w:rsidP="004B5C73">
      <w:pPr>
        <w:spacing w:after="0" w:line="240" w:lineRule="auto"/>
      </w:pPr>
      <w:r>
        <w:separator/>
      </w:r>
    </w:p>
  </w:endnote>
  <w:endnote w:type="continuationSeparator" w:id="0">
    <w:p w14:paraId="6978AD75" w14:textId="77777777" w:rsidR="004B5C73" w:rsidRDefault="004B5C73" w:rsidP="004B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B509" w14:textId="77777777" w:rsidR="004B5C73" w:rsidRDefault="004B5C73" w:rsidP="004B5C73">
      <w:pPr>
        <w:spacing w:after="0" w:line="240" w:lineRule="auto"/>
      </w:pPr>
      <w:r>
        <w:separator/>
      </w:r>
    </w:p>
  </w:footnote>
  <w:footnote w:type="continuationSeparator" w:id="0">
    <w:p w14:paraId="72CD0723" w14:textId="77777777" w:rsidR="004B5C73" w:rsidRDefault="004B5C73" w:rsidP="004B5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37AE" w14:textId="77777777" w:rsidR="004B5C73" w:rsidRPr="004B5C73" w:rsidRDefault="004B5C73">
    <w:pPr>
      <w:pStyle w:val="Header"/>
      <w:rPr>
        <w:rFonts w:ascii="Garamond" w:hAnsi="Garamond"/>
        <w:b/>
        <w:bCs/>
      </w:rPr>
    </w:pPr>
    <w:r w:rsidRPr="004B5C73">
      <w:rPr>
        <w:rFonts w:ascii="Garamond" w:hAnsi="Garamond"/>
      </w:rPr>
      <w:tab/>
    </w:r>
    <w:r w:rsidRPr="004B5C73">
      <w:rPr>
        <w:rFonts w:ascii="Garamond" w:hAnsi="Garamond"/>
        <w:b/>
        <w:bCs/>
      </w:rPr>
      <w:t>Professional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72D"/>
    <w:multiLevelType w:val="hybridMultilevel"/>
    <w:tmpl w:val="8B52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036C"/>
    <w:multiLevelType w:val="hybridMultilevel"/>
    <w:tmpl w:val="7B443F7A"/>
    <w:lvl w:ilvl="0" w:tplc="C6A8B948">
      <w:start w:val="1"/>
      <w:numFmt w:val="decimal"/>
      <w:lvlText w:val="%1."/>
      <w:lvlJc w:val="right"/>
      <w:pPr>
        <w:ind w:left="1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904750901">
    <w:abstractNumId w:val="1"/>
  </w:num>
  <w:num w:numId="2" w16cid:durableId="129063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73"/>
    <w:rsid w:val="00227B02"/>
    <w:rsid w:val="004B5C73"/>
    <w:rsid w:val="004F79CD"/>
    <w:rsid w:val="00517670"/>
    <w:rsid w:val="006913D8"/>
    <w:rsid w:val="00A35D32"/>
    <w:rsid w:val="00A83EC3"/>
    <w:rsid w:val="00A96FA7"/>
    <w:rsid w:val="00BB1DDA"/>
    <w:rsid w:val="00D65EA3"/>
    <w:rsid w:val="00EB622A"/>
    <w:rsid w:val="00EC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CA33"/>
  <w15:chartTrackingRefBased/>
  <w15:docId w15:val="{1A4F1FC9-D554-4E92-9FD6-296191D8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C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5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C73"/>
  </w:style>
  <w:style w:type="paragraph" w:styleId="Footer">
    <w:name w:val="footer"/>
    <w:basedOn w:val="Normal"/>
    <w:link w:val="FooterChar"/>
    <w:uiPriority w:val="99"/>
    <w:unhideWhenUsed/>
    <w:rsid w:val="004B5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CPO Guidance re: Professional Services</dc:title>
  <dc:subject/>
  <dc:creator>Milling, Crawford</dc:creator>
  <cp:keywords>A&amp;C;P-Card;Guidance</cp:keywords>
  <dc:description/>
  <cp:lastModifiedBy>Bradshaw, Tara</cp:lastModifiedBy>
  <cp:revision>2</cp:revision>
  <dcterms:created xsi:type="dcterms:W3CDTF">2026-04-02T18:18:00Z</dcterms:created>
  <dcterms:modified xsi:type="dcterms:W3CDTF">2026-04-02T18:18:00Z</dcterms:modified>
</cp:coreProperties>
</file>